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3254" w14:textId="020E7E91" w:rsidR="00AA150F" w:rsidRDefault="00BB1959" w:rsidP="006D330B">
      <w:pPr>
        <w:pStyle w:val="Title"/>
      </w:pPr>
      <w:r>
        <w:t xml:space="preserve"> </w:t>
      </w:r>
      <w:r w:rsidR="00BC7162">
        <w:t>HRA Rent Setting Policy</w:t>
      </w:r>
    </w:p>
    <w:p w14:paraId="6B2E286D" w14:textId="445922F7" w:rsidR="00CD1FC2" w:rsidRPr="006D330B" w:rsidRDefault="00AA150F" w:rsidP="006D330B">
      <w:pPr>
        <w:pStyle w:val="Heading1"/>
        <w:numPr>
          <w:ilvl w:val="0"/>
          <w:numId w:val="1"/>
        </w:numPr>
      </w:pPr>
      <w:r>
        <w:t>Introduction</w:t>
      </w:r>
    </w:p>
    <w:p w14:paraId="64D1CCDD" w14:textId="77777777" w:rsidR="00AA150F" w:rsidRPr="00B7197C" w:rsidRDefault="00CD1FC2" w:rsidP="00CD1FC2">
      <w:pPr>
        <w:pStyle w:val="ListParagraph"/>
        <w:numPr>
          <w:ilvl w:val="1"/>
          <w:numId w:val="1"/>
        </w:numPr>
        <w:autoSpaceDE w:val="0"/>
        <w:autoSpaceDN w:val="0"/>
        <w:adjustRightInd w:val="0"/>
        <w:spacing w:after="0" w:line="240" w:lineRule="auto"/>
        <w:rPr>
          <w:rFonts w:cs="Arial"/>
          <w:sz w:val="24"/>
          <w:szCs w:val="24"/>
        </w:rPr>
      </w:pPr>
      <w:r w:rsidRPr="00B7197C">
        <w:rPr>
          <w:rFonts w:cs="Arial"/>
          <w:sz w:val="24"/>
          <w:szCs w:val="24"/>
        </w:rPr>
        <w:t>This policy outlines how Medway Council (the council) will calculate, consult and charge rent for our Housing Revenue Account (HRA) owned stock that we have responsibility to manage and maintain and the factors involved with this decision.</w:t>
      </w:r>
    </w:p>
    <w:p w14:paraId="5FAD3072" w14:textId="77777777" w:rsidR="00AA150F" w:rsidRDefault="00AA150F" w:rsidP="00AA150F">
      <w:pPr>
        <w:pStyle w:val="Heading1"/>
        <w:numPr>
          <w:ilvl w:val="0"/>
          <w:numId w:val="1"/>
        </w:numPr>
      </w:pPr>
      <w:r>
        <w:t>Purpose</w:t>
      </w:r>
    </w:p>
    <w:p w14:paraId="1228706A" w14:textId="77777777" w:rsidR="00CD1FC2" w:rsidRPr="00B7197C" w:rsidRDefault="00CD1FC2" w:rsidP="00CD1FC2">
      <w:pPr>
        <w:pStyle w:val="ListParagraph"/>
        <w:numPr>
          <w:ilvl w:val="1"/>
          <w:numId w:val="1"/>
        </w:numPr>
        <w:autoSpaceDE w:val="0"/>
        <w:autoSpaceDN w:val="0"/>
        <w:adjustRightInd w:val="0"/>
        <w:spacing w:after="0" w:line="240" w:lineRule="auto"/>
        <w:rPr>
          <w:rFonts w:cs="Arial"/>
          <w:sz w:val="24"/>
          <w:szCs w:val="24"/>
        </w:rPr>
      </w:pPr>
      <w:r w:rsidRPr="00B7197C">
        <w:rPr>
          <w:rFonts w:cs="Arial"/>
          <w:sz w:val="24"/>
          <w:szCs w:val="24"/>
        </w:rPr>
        <w:t>The purpose of this policy is to:</w:t>
      </w:r>
    </w:p>
    <w:p w14:paraId="346D54AC" w14:textId="77777777" w:rsidR="00CD1FC2" w:rsidRPr="00B7197C" w:rsidRDefault="00CD1FC2" w:rsidP="00CD1FC2">
      <w:pPr>
        <w:pStyle w:val="ListParagraph"/>
        <w:numPr>
          <w:ilvl w:val="2"/>
          <w:numId w:val="1"/>
        </w:numPr>
        <w:autoSpaceDE w:val="0"/>
        <w:autoSpaceDN w:val="0"/>
        <w:adjustRightInd w:val="0"/>
        <w:spacing w:after="0" w:line="240" w:lineRule="auto"/>
        <w:rPr>
          <w:rFonts w:cs="Arial"/>
          <w:sz w:val="24"/>
          <w:szCs w:val="24"/>
        </w:rPr>
      </w:pPr>
      <w:r w:rsidRPr="00B7197C">
        <w:rPr>
          <w:rFonts w:cs="Arial"/>
          <w:sz w:val="24"/>
          <w:szCs w:val="24"/>
        </w:rPr>
        <w:t xml:space="preserve">ensure that the HRA adheres to government legislation when setting </w:t>
      </w:r>
      <w:proofErr w:type="gramStart"/>
      <w:r w:rsidRPr="00B7197C">
        <w:rPr>
          <w:rFonts w:cs="Arial"/>
          <w:sz w:val="24"/>
          <w:szCs w:val="24"/>
        </w:rPr>
        <w:t>rent;</w:t>
      </w:r>
      <w:proofErr w:type="gramEnd"/>
    </w:p>
    <w:p w14:paraId="61560CDE" w14:textId="77777777" w:rsidR="00CD1FC2" w:rsidRPr="00B7197C" w:rsidRDefault="00CD1FC2" w:rsidP="00CD1FC2">
      <w:pPr>
        <w:pStyle w:val="ListParagraph"/>
        <w:numPr>
          <w:ilvl w:val="2"/>
          <w:numId w:val="1"/>
        </w:numPr>
        <w:autoSpaceDE w:val="0"/>
        <w:autoSpaceDN w:val="0"/>
        <w:adjustRightInd w:val="0"/>
        <w:spacing w:after="0" w:line="240" w:lineRule="auto"/>
        <w:rPr>
          <w:rFonts w:cs="Arial"/>
          <w:sz w:val="24"/>
          <w:szCs w:val="24"/>
        </w:rPr>
      </w:pPr>
      <w:r w:rsidRPr="00B7197C">
        <w:rPr>
          <w:rFonts w:cs="Arial"/>
          <w:sz w:val="24"/>
          <w:szCs w:val="24"/>
        </w:rPr>
        <w:t xml:space="preserve">ensure that the HRA does not fall into a deficit </w:t>
      </w:r>
      <w:proofErr w:type="gramStart"/>
      <w:r w:rsidRPr="00B7197C">
        <w:rPr>
          <w:rFonts w:cs="Arial"/>
          <w:sz w:val="24"/>
          <w:szCs w:val="24"/>
        </w:rPr>
        <w:t>position;</w:t>
      </w:r>
      <w:proofErr w:type="gramEnd"/>
    </w:p>
    <w:p w14:paraId="3D389E4E" w14:textId="77777777" w:rsidR="00CD1FC2" w:rsidRPr="00B7197C" w:rsidRDefault="00CD1FC2" w:rsidP="00CD1FC2">
      <w:pPr>
        <w:pStyle w:val="ListParagraph"/>
        <w:numPr>
          <w:ilvl w:val="2"/>
          <w:numId w:val="1"/>
        </w:numPr>
        <w:autoSpaceDE w:val="0"/>
        <w:autoSpaceDN w:val="0"/>
        <w:adjustRightInd w:val="0"/>
        <w:spacing w:after="0" w:line="240" w:lineRule="auto"/>
        <w:rPr>
          <w:rFonts w:cs="Arial"/>
          <w:sz w:val="24"/>
          <w:szCs w:val="24"/>
        </w:rPr>
      </w:pPr>
      <w:r w:rsidRPr="00B7197C">
        <w:rPr>
          <w:rFonts w:cs="Arial"/>
          <w:sz w:val="24"/>
          <w:szCs w:val="24"/>
        </w:rPr>
        <w:t xml:space="preserve">help the council to plan for future </w:t>
      </w:r>
      <w:proofErr w:type="gramStart"/>
      <w:r w:rsidRPr="00B7197C">
        <w:rPr>
          <w:rFonts w:cs="Arial"/>
          <w:sz w:val="24"/>
          <w:szCs w:val="24"/>
        </w:rPr>
        <w:t>investment;</w:t>
      </w:r>
      <w:proofErr w:type="gramEnd"/>
    </w:p>
    <w:p w14:paraId="401DE144" w14:textId="77777777" w:rsidR="00CD1FC2" w:rsidRPr="00B7197C" w:rsidRDefault="00C63FA1" w:rsidP="00CD1FC2">
      <w:pPr>
        <w:pStyle w:val="ListParagraph"/>
        <w:numPr>
          <w:ilvl w:val="2"/>
          <w:numId w:val="1"/>
        </w:numPr>
        <w:autoSpaceDE w:val="0"/>
        <w:autoSpaceDN w:val="0"/>
        <w:adjustRightInd w:val="0"/>
        <w:spacing w:after="0" w:line="240" w:lineRule="auto"/>
        <w:rPr>
          <w:rFonts w:cs="Arial"/>
          <w:sz w:val="24"/>
          <w:szCs w:val="24"/>
        </w:rPr>
      </w:pPr>
      <w:r>
        <w:rPr>
          <w:rFonts w:cs="Arial"/>
          <w:sz w:val="24"/>
          <w:szCs w:val="24"/>
        </w:rPr>
        <w:t>protect</w:t>
      </w:r>
      <w:r w:rsidR="00CD1FC2" w:rsidRPr="00B7197C">
        <w:rPr>
          <w:rFonts w:cs="Arial"/>
          <w:sz w:val="24"/>
          <w:szCs w:val="24"/>
        </w:rPr>
        <w:t xml:space="preserve"> tenants from excessive increases in </w:t>
      </w:r>
      <w:proofErr w:type="gramStart"/>
      <w:r w:rsidR="00CD1FC2" w:rsidRPr="00B7197C">
        <w:rPr>
          <w:rFonts w:cs="Arial"/>
          <w:sz w:val="24"/>
          <w:szCs w:val="24"/>
        </w:rPr>
        <w:t>rents;</w:t>
      </w:r>
      <w:proofErr w:type="gramEnd"/>
    </w:p>
    <w:p w14:paraId="5557B9C1" w14:textId="48959E5C" w:rsidR="00AA150F" w:rsidRPr="00B7197C" w:rsidRDefault="00CD1FC2" w:rsidP="00CD1FC2">
      <w:pPr>
        <w:pStyle w:val="ListParagraph"/>
        <w:numPr>
          <w:ilvl w:val="2"/>
          <w:numId w:val="1"/>
        </w:numPr>
        <w:autoSpaceDE w:val="0"/>
        <w:autoSpaceDN w:val="0"/>
        <w:adjustRightInd w:val="0"/>
        <w:spacing w:after="0" w:line="240" w:lineRule="auto"/>
        <w:rPr>
          <w:rFonts w:cs="Arial"/>
          <w:sz w:val="24"/>
          <w:szCs w:val="24"/>
        </w:rPr>
      </w:pPr>
      <w:r w:rsidRPr="00B7197C">
        <w:rPr>
          <w:rFonts w:cs="Arial"/>
          <w:sz w:val="24"/>
          <w:szCs w:val="24"/>
        </w:rPr>
        <w:t>help ensure sub-market rents are being provided only to those in housing need</w:t>
      </w:r>
      <w:r w:rsidR="00BB1959">
        <w:rPr>
          <w:rFonts w:cs="Arial"/>
          <w:sz w:val="24"/>
          <w:szCs w:val="24"/>
        </w:rPr>
        <w:t xml:space="preserve"> and those who do not have the financial means to access other tenures. </w:t>
      </w:r>
    </w:p>
    <w:p w14:paraId="217E08F7" w14:textId="77777777" w:rsidR="00AA150F" w:rsidRDefault="00CD1FC2" w:rsidP="00AA150F">
      <w:pPr>
        <w:pStyle w:val="Heading1"/>
        <w:numPr>
          <w:ilvl w:val="0"/>
          <w:numId w:val="1"/>
        </w:numPr>
      </w:pPr>
      <w:r>
        <w:t>Background</w:t>
      </w:r>
    </w:p>
    <w:p w14:paraId="7B2ABC20" w14:textId="2A9F2FB4" w:rsidR="00CD1FC2" w:rsidRPr="00025010" w:rsidRDefault="00CD1FC2" w:rsidP="00CD1FC2">
      <w:pPr>
        <w:numPr>
          <w:ilvl w:val="1"/>
          <w:numId w:val="1"/>
        </w:numPr>
        <w:tabs>
          <w:tab w:val="left" w:pos="851"/>
          <w:tab w:val="left" w:pos="11220"/>
        </w:tabs>
        <w:spacing w:after="0" w:line="240" w:lineRule="auto"/>
        <w:rPr>
          <w:rFonts w:cs="Arial"/>
          <w:sz w:val="24"/>
          <w:szCs w:val="24"/>
          <w:lang w:val="en-US"/>
        </w:rPr>
      </w:pPr>
      <w:r w:rsidRPr="00025010">
        <w:rPr>
          <w:rFonts w:cs="Arial"/>
          <w:sz w:val="24"/>
          <w:szCs w:val="24"/>
          <w:lang w:val="en-US"/>
        </w:rPr>
        <w:t xml:space="preserve">In October 2017, the Government announced in the Housing White Paper ‘Fixing our Broken Housing Market’, that social housing landlords are permitted to increase social and affordable rent by Consumer Price Index (CPI) plus 1% each year from April 2020 for a period of 5 years. </w:t>
      </w:r>
      <w:r w:rsidR="009C30C2">
        <w:rPr>
          <w:rFonts w:cs="Arial"/>
          <w:sz w:val="24"/>
          <w:szCs w:val="24"/>
          <w:lang w:val="en-US"/>
        </w:rPr>
        <w:t>From April 202</w:t>
      </w:r>
      <w:r w:rsidR="00663334">
        <w:rPr>
          <w:rFonts w:cs="Arial"/>
          <w:sz w:val="24"/>
          <w:szCs w:val="24"/>
          <w:lang w:val="en-US"/>
        </w:rPr>
        <w:t>5</w:t>
      </w:r>
      <w:r w:rsidR="009C30C2">
        <w:rPr>
          <w:rFonts w:cs="Arial"/>
          <w:sz w:val="24"/>
          <w:szCs w:val="24"/>
          <w:lang w:val="en-US"/>
        </w:rPr>
        <w:t xml:space="preserve">, it will be the </w:t>
      </w:r>
      <w:r w:rsidR="00663334">
        <w:rPr>
          <w:rFonts w:cs="Arial"/>
          <w:sz w:val="24"/>
          <w:szCs w:val="24"/>
          <w:lang w:val="en-US"/>
        </w:rPr>
        <w:t>fourth</w:t>
      </w:r>
      <w:r w:rsidR="009C30C2">
        <w:rPr>
          <w:rFonts w:cs="Arial"/>
          <w:sz w:val="24"/>
          <w:szCs w:val="24"/>
          <w:lang w:val="en-US"/>
        </w:rPr>
        <w:t xml:space="preserve"> year of rent increase.</w:t>
      </w:r>
    </w:p>
    <w:p w14:paraId="31801402" w14:textId="77777777" w:rsidR="00CD1FC2" w:rsidRPr="00CD1FC2" w:rsidRDefault="00CD1FC2" w:rsidP="00CD1FC2">
      <w:pPr>
        <w:pStyle w:val="Heading1"/>
        <w:numPr>
          <w:ilvl w:val="0"/>
          <w:numId w:val="1"/>
        </w:numPr>
      </w:pPr>
      <w:r>
        <w:t>Scope</w:t>
      </w:r>
    </w:p>
    <w:p w14:paraId="198C5849"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This policy is intended for all HRA residential properties that the council owns and has responsibility to maintain and manage.</w:t>
      </w:r>
    </w:p>
    <w:p w14:paraId="3823ADE7" w14:textId="77777777" w:rsidR="00CD1FC2" w:rsidRPr="00025010" w:rsidRDefault="00CD1FC2" w:rsidP="00CD1FC2">
      <w:pPr>
        <w:pStyle w:val="ListParagraph"/>
        <w:autoSpaceDE w:val="0"/>
        <w:autoSpaceDN w:val="0"/>
        <w:adjustRightInd w:val="0"/>
        <w:spacing w:after="0" w:line="240" w:lineRule="auto"/>
        <w:ind w:left="462"/>
        <w:rPr>
          <w:rFonts w:cs="Arial"/>
          <w:sz w:val="20"/>
          <w:szCs w:val="24"/>
        </w:rPr>
      </w:pPr>
    </w:p>
    <w:p w14:paraId="4BD35866"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This policy does not include the setting of service charges that contribute to the overall rental charge of a property; service charges are calculated separately.</w:t>
      </w:r>
    </w:p>
    <w:p w14:paraId="05F326F6" w14:textId="77777777" w:rsidR="00AA150F" w:rsidRDefault="00AA150F" w:rsidP="00AA150F">
      <w:pPr>
        <w:pStyle w:val="Heading1"/>
        <w:numPr>
          <w:ilvl w:val="0"/>
          <w:numId w:val="1"/>
        </w:numPr>
      </w:pPr>
      <w:r>
        <w:t>Legislation and Guidance</w:t>
      </w:r>
    </w:p>
    <w:p w14:paraId="5C2A600A"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Housing and Regeneration Act 2008 (a) Section 197</w:t>
      </w:r>
    </w:p>
    <w:p w14:paraId="60B35412"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Direction on the Rent Standard 2019</w:t>
      </w:r>
    </w:p>
    <w:p w14:paraId="5AAD1AB8"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Policy Statement on Rents for Social Housing issued by the Secretary of State on 26 February 2019</w:t>
      </w:r>
    </w:p>
    <w:p w14:paraId="3DE6D910"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Housing White Paper ‘Fixing our Broken Housing Market’ 2017</w:t>
      </w:r>
    </w:p>
    <w:p w14:paraId="5C221AF2"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Welfare Reform and Work Act 2016 (b)</w:t>
      </w:r>
    </w:p>
    <w:p w14:paraId="2370917A"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HCA Rent Standard Guidance 2015</w:t>
      </w:r>
    </w:p>
    <w:p w14:paraId="3089CDD0"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Housing Act 1985 Section 24</w:t>
      </w:r>
    </w:p>
    <w:p w14:paraId="31A96BE5"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 xml:space="preserve">Local Government and Housing Act 1989 </w:t>
      </w:r>
    </w:p>
    <w:p w14:paraId="4B9D0708" w14:textId="77777777" w:rsidR="00CD1FC2" w:rsidRPr="00025010" w:rsidRDefault="00CD1FC2" w:rsidP="00CD1FC2">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Social Housing Rents (Exceptions and Miscellaneous Provisions) Regulations 2016</w:t>
      </w:r>
    </w:p>
    <w:p w14:paraId="6223ABC0" w14:textId="77777777" w:rsidR="00AA150F" w:rsidRDefault="00AA150F" w:rsidP="00AA150F">
      <w:pPr>
        <w:pStyle w:val="Heading1"/>
        <w:numPr>
          <w:ilvl w:val="0"/>
          <w:numId w:val="1"/>
        </w:numPr>
      </w:pPr>
      <w:r>
        <w:lastRenderedPageBreak/>
        <w:t>Policy</w:t>
      </w:r>
    </w:p>
    <w:p w14:paraId="0D80C988" w14:textId="77777777" w:rsidR="00CD1FC2" w:rsidRPr="00CB2E44" w:rsidRDefault="00CD1FC2" w:rsidP="00CB2E44">
      <w:pPr>
        <w:pStyle w:val="Heading2"/>
      </w:pPr>
      <w:r w:rsidRPr="00CD1FC2">
        <w:t>Calculation of</w:t>
      </w:r>
      <w:r w:rsidR="00B14ED7">
        <w:t xml:space="preserve"> social</w:t>
      </w:r>
      <w:r w:rsidRPr="00CD1FC2">
        <w:t xml:space="preserve"> rent</w:t>
      </w:r>
    </w:p>
    <w:p w14:paraId="20C025A6"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Under social rent policy (excluding households that meet the criteria for fairer rent) rents will be set based on a formula that has consideration of:</w:t>
      </w:r>
    </w:p>
    <w:p w14:paraId="06711079" w14:textId="77777777" w:rsidR="00CD1FC2" w:rsidRPr="00025010" w:rsidRDefault="00CD1FC2" w:rsidP="00CD1FC2">
      <w:pPr>
        <w:pStyle w:val="ListParagraph"/>
        <w:numPr>
          <w:ilvl w:val="2"/>
          <w:numId w:val="5"/>
        </w:numPr>
        <w:autoSpaceDE w:val="0"/>
        <w:autoSpaceDN w:val="0"/>
        <w:adjustRightInd w:val="0"/>
        <w:spacing w:after="0" w:line="240" w:lineRule="auto"/>
        <w:rPr>
          <w:rFonts w:cs="Arial"/>
          <w:sz w:val="24"/>
          <w:szCs w:val="24"/>
        </w:rPr>
      </w:pPr>
      <w:r w:rsidRPr="00025010">
        <w:rPr>
          <w:rFonts w:cs="Arial"/>
          <w:sz w:val="24"/>
          <w:szCs w:val="24"/>
        </w:rPr>
        <w:t xml:space="preserve">The condition and location of a property – reflected in its </w:t>
      </w:r>
      <w:proofErr w:type="gramStart"/>
      <w:r w:rsidRPr="00025010">
        <w:rPr>
          <w:rFonts w:cs="Arial"/>
          <w:sz w:val="24"/>
          <w:szCs w:val="24"/>
        </w:rPr>
        <w:t>value;</w:t>
      </w:r>
      <w:proofErr w:type="gramEnd"/>
    </w:p>
    <w:p w14:paraId="3A91AA27" w14:textId="77777777" w:rsidR="00CD1FC2" w:rsidRPr="00025010" w:rsidRDefault="00CD1FC2" w:rsidP="00CD1FC2">
      <w:pPr>
        <w:pStyle w:val="ListParagraph"/>
        <w:numPr>
          <w:ilvl w:val="2"/>
          <w:numId w:val="5"/>
        </w:numPr>
        <w:autoSpaceDE w:val="0"/>
        <w:autoSpaceDN w:val="0"/>
        <w:adjustRightInd w:val="0"/>
        <w:spacing w:after="0" w:line="240" w:lineRule="auto"/>
        <w:rPr>
          <w:rFonts w:cs="Arial"/>
          <w:sz w:val="24"/>
          <w:szCs w:val="24"/>
        </w:rPr>
      </w:pPr>
      <w:r w:rsidRPr="00025010">
        <w:rPr>
          <w:rFonts w:cs="Arial"/>
          <w:sz w:val="24"/>
          <w:szCs w:val="24"/>
        </w:rPr>
        <w:t xml:space="preserve">Local </w:t>
      </w:r>
      <w:proofErr w:type="gramStart"/>
      <w:r w:rsidRPr="00025010">
        <w:rPr>
          <w:rFonts w:cs="Arial"/>
          <w:sz w:val="24"/>
          <w:szCs w:val="24"/>
        </w:rPr>
        <w:t>earnings;</w:t>
      </w:r>
      <w:proofErr w:type="gramEnd"/>
    </w:p>
    <w:p w14:paraId="01397CDA" w14:textId="37F5DB4A" w:rsidR="00CD1FC2" w:rsidRPr="00025010" w:rsidRDefault="00CD1FC2" w:rsidP="00CD1FC2">
      <w:pPr>
        <w:pStyle w:val="ListParagraph"/>
        <w:numPr>
          <w:ilvl w:val="2"/>
          <w:numId w:val="5"/>
        </w:numPr>
        <w:autoSpaceDE w:val="0"/>
        <w:autoSpaceDN w:val="0"/>
        <w:adjustRightInd w:val="0"/>
        <w:spacing w:after="0" w:line="240" w:lineRule="auto"/>
        <w:rPr>
          <w:rFonts w:cs="Arial"/>
          <w:sz w:val="24"/>
          <w:szCs w:val="24"/>
        </w:rPr>
      </w:pPr>
      <w:r w:rsidRPr="00025010">
        <w:rPr>
          <w:rFonts w:cs="Arial"/>
          <w:sz w:val="24"/>
          <w:szCs w:val="24"/>
        </w:rPr>
        <w:t>Property size (specifically, the number of bedrooms in a property).</w:t>
      </w:r>
    </w:p>
    <w:p w14:paraId="15777324" w14:textId="77777777" w:rsidR="00CD1FC2" w:rsidRPr="00025010" w:rsidRDefault="00CD1FC2" w:rsidP="00CD1FC2">
      <w:pPr>
        <w:pStyle w:val="ListParagraph"/>
        <w:autoSpaceDE w:val="0"/>
        <w:autoSpaceDN w:val="0"/>
        <w:adjustRightInd w:val="0"/>
        <w:spacing w:after="0" w:line="240" w:lineRule="auto"/>
        <w:ind w:left="540"/>
        <w:rPr>
          <w:rFonts w:cs="Arial"/>
          <w:sz w:val="18"/>
          <w:szCs w:val="24"/>
        </w:rPr>
      </w:pPr>
    </w:p>
    <w:p w14:paraId="2288EB8C"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The basis for the calculation of formula rents is:</w:t>
      </w:r>
    </w:p>
    <w:p w14:paraId="79C11310" w14:textId="77777777" w:rsidR="00CD1FC2" w:rsidRPr="00025010" w:rsidRDefault="00CD1FC2" w:rsidP="00CD1FC2">
      <w:pPr>
        <w:pStyle w:val="ListParagraph"/>
        <w:numPr>
          <w:ilvl w:val="2"/>
          <w:numId w:val="6"/>
        </w:numPr>
        <w:autoSpaceDE w:val="0"/>
        <w:autoSpaceDN w:val="0"/>
        <w:adjustRightInd w:val="0"/>
        <w:spacing w:after="0" w:line="240" w:lineRule="auto"/>
        <w:rPr>
          <w:rFonts w:cs="Arial"/>
          <w:sz w:val="24"/>
          <w:szCs w:val="24"/>
        </w:rPr>
      </w:pPr>
      <w:r w:rsidRPr="00025010">
        <w:rPr>
          <w:rFonts w:cs="Arial"/>
          <w:sz w:val="24"/>
          <w:szCs w:val="24"/>
        </w:rPr>
        <w:t xml:space="preserve">30 percent of a property’s rent should be based on relative property </w:t>
      </w:r>
      <w:proofErr w:type="gramStart"/>
      <w:r w:rsidRPr="00025010">
        <w:rPr>
          <w:rFonts w:cs="Arial"/>
          <w:sz w:val="24"/>
          <w:szCs w:val="24"/>
        </w:rPr>
        <w:t>values;</w:t>
      </w:r>
      <w:proofErr w:type="gramEnd"/>
    </w:p>
    <w:p w14:paraId="7F055404" w14:textId="77777777" w:rsidR="00CD1FC2" w:rsidRPr="00025010" w:rsidRDefault="00CD1FC2" w:rsidP="00CD1FC2">
      <w:pPr>
        <w:pStyle w:val="ListParagraph"/>
        <w:numPr>
          <w:ilvl w:val="2"/>
          <w:numId w:val="6"/>
        </w:numPr>
        <w:autoSpaceDE w:val="0"/>
        <w:autoSpaceDN w:val="0"/>
        <w:adjustRightInd w:val="0"/>
        <w:spacing w:after="0" w:line="240" w:lineRule="auto"/>
        <w:rPr>
          <w:rFonts w:cs="Arial"/>
          <w:sz w:val="24"/>
          <w:szCs w:val="24"/>
        </w:rPr>
      </w:pPr>
      <w:r w:rsidRPr="00025010">
        <w:rPr>
          <w:rFonts w:cs="Arial"/>
          <w:sz w:val="24"/>
          <w:szCs w:val="24"/>
        </w:rPr>
        <w:t xml:space="preserve">70 percent of a property’s rent should be based on relative local earnings; and </w:t>
      </w:r>
    </w:p>
    <w:p w14:paraId="4B91F5AC" w14:textId="78A0D2CD" w:rsidR="00CD1FC2" w:rsidRPr="006D330B" w:rsidRDefault="00CD1FC2" w:rsidP="006D330B">
      <w:pPr>
        <w:pStyle w:val="ListParagraph"/>
        <w:numPr>
          <w:ilvl w:val="2"/>
          <w:numId w:val="6"/>
        </w:numPr>
        <w:autoSpaceDE w:val="0"/>
        <w:autoSpaceDN w:val="0"/>
        <w:adjustRightInd w:val="0"/>
        <w:spacing w:after="0" w:line="240" w:lineRule="auto"/>
        <w:rPr>
          <w:rFonts w:cs="Arial"/>
          <w:sz w:val="24"/>
          <w:szCs w:val="24"/>
        </w:rPr>
      </w:pPr>
      <w:r w:rsidRPr="00025010">
        <w:rPr>
          <w:rFonts w:cs="Arial"/>
          <w:sz w:val="24"/>
          <w:szCs w:val="24"/>
        </w:rPr>
        <w:t>A bedroom factor should be applied so that, other things being equal, smaller properties have lower rents.</w:t>
      </w:r>
    </w:p>
    <w:p w14:paraId="171C562A" w14:textId="7609DD99" w:rsidR="00CD1FC2" w:rsidRPr="006D330B" w:rsidRDefault="00CD1FC2"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Relative property value means an individual property’s value divided by the national (England) average property value, as at January 1999 prices.</w:t>
      </w:r>
    </w:p>
    <w:p w14:paraId="7C4D37CE" w14:textId="1C1343FF" w:rsidR="00CD1FC2" w:rsidRPr="006D330B" w:rsidRDefault="00CD1FC2"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 xml:space="preserve">Where a property has a </w:t>
      </w:r>
      <w:proofErr w:type="gramStart"/>
      <w:r w:rsidRPr="00025010">
        <w:rPr>
          <w:rFonts w:cs="Arial"/>
          <w:sz w:val="24"/>
          <w:szCs w:val="24"/>
        </w:rPr>
        <w:t>purpose built</w:t>
      </w:r>
      <w:proofErr w:type="gramEnd"/>
      <w:r w:rsidRPr="00025010">
        <w:rPr>
          <w:rFonts w:cs="Arial"/>
          <w:sz w:val="24"/>
          <w:szCs w:val="24"/>
        </w:rPr>
        <w:t xml:space="preserve"> bedroom on the ground floor, the size of the property in terms of its numbers of bedrooms will be counted as such.  Properties identified with “pods” will be charged for only bedrooms on the upper floors of properties from 1st April 2012 and pods, regardless of their usage, will be disregarded for rent charging purposes.</w:t>
      </w:r>
    </w:p>
    <w:p w14:paraId="1D59C5BA" w14:textId="1AB2330B" w:rsidR="00CD1FC2" w:rsidRPr="006D330B" w:rsidRDefault="00CD1FC2"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In accordance with the 2017 Housing White Paper, from April 2020 the council are permitted to increase rent by Consumer Price Index (CPI) plus 1% each year for a period of 5 years.</w:t>
      </w:r>
    </w:p>
    <w:p w14:paraId="18034372" w14:textId="5E435268"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 xml:space="preserve">The council has some properties with a rent charge below that of formula rent.  When </w:t>
      </w:r>
      <w:r w:rsidR="00BB1959">
        <w:rPr>
          <w:rFonts w:cs="Arial"/>
          <w:sz w:val="24"/>
          <w:szCs w:val="24"/>
        </w:rPr>
        <w:t>any</w:t>
      </w:r>
      <w:r w:rsidRPr="00025010">
        <w:rPr>
          <w:rFonts w:cs="Arial"/>
          <w:sz w:val="24"/>
          <w:szCs w:val="24"/>
        </w:rPr>
        <w:t xml:space="preserve"> of these properties becomes void in 20</w:t>
      </w:r>
      <w:r w:rsidR="00225B96">
        <w:rPr>
          <w:rFonts w:cs="Arial"/>
          <w:sz w:val="24"/>
          <w:szCs w:val="24"/>
        </w:rPr>
        <w:t>2</w:t>
      </w:r>
      <w:r w:rsidR="0078059A">
        <w:rPr>
          <w:rFonts w:cs="Arial"/>
          <w:sz w:val="24"/>
          <w:szCs w:val="24"/>
        </w:rPr>
        <w:t>5</w:t>
      </w:r>
      <w:r w:rsidRPr="00025010">
        <w:rPr>
          <w:rFonts w:cs="Arial"/>
          <w:sz w:val="24"/>
          <w:szCs w:val="24"/>
        </w:rPr>
        <w:t>/</w:t>
      </w:r>
      <w:r w:rsidR="00225B96">
        <w:rPr>
          <w:rFonts w:cs="Arial"/>
          <w:sz w:val="24"/>
          <w:szCs w:val="24"/>
        </w:rPr>
        <w:t>2</w:t>
      </w:r>
      <w:r w:rsidR="0078059A">
        <w:rPr>
          <w:rFonts w:cs="Arial"/>
          <w:sz w:val="24"/>
          <w:szCs w:val="24"/>
        </w:rPr>
        <w:t>6</w:t>
      </w:r>
      <w:r w:rsidRPr="00025010">
        <w:rPr>
          <w:rFonts w:cs="Arial"/>
          <w:sz w:val="24"/>
          <w:szCs w:val="24"/>
        </w:rPr>
        <w:t xml:space="preserve"> the proposed rent will be recalculated the formula rent level.</w:t>
      </w:r>
    </w:p>
    <w:p w14:paraId="503F1BD8" w14:textId="77777777" w:rsidR="00CD1FC2" w:rsidRPr="00BA664B" w:rsidRDefault="00CD1FC2" w:rsidP="00CD1FC2">
      <w:pPr>
        <w:autoSpaceDE w:val="0"/>
        <w:autoSpaceDN w:val="0"/>
        <w:adjustRightInd w:val="0"/>
        <w:spacing w:after="0" w:line="240" w:lineRule="auto"/>
        <w:rPr>
          <w:rFonts w:ascii="Arial" w:hAnsi="Arial" w:cs="Arial"/>
          <w:sz w:val="16"/>
          <w:szCs w:val="20"/>
        </w:rPr>
      </w:pPr>
    </w:p>
    <w:p w14:paraId="201C067C" w14:textId="77777777" w:rsidR="00CD1FC2" w:rsidRDefault="00CD1FC2" w:rsidP="00463A35">
      <w:pPr>
        <w:pStyle w:val="Heading2"/>
      </w:pPr>
      <w:r w:rsidRPr="006E03D6">
        <w:t>Rents for social ho</w:t>
      </w:r>
      <w:r>
        <w:t xml:space="preserve">using tenants with high incomes </w:t>
      </w:r>
      <w:r w:rsidRPr="006E03D6">
        <w:t xml:space="preserve">(HIST) </w:t>
      </w:r>
    </w:p>
    <w:p w14:paraId="6E3194CB" w14:textId="77777777" w:rsidR="00CD1FC2" w:rsidRPr="00D55146" w:rsidRDefault="00CD1FC2" w:rsidP="00CD1FC2">
      <w:pPr>
        <w:pStyle w:val="ListParagraph"/>
        <w:rPr>
          <w:rFonts w:ascii="Arial" w:hAnsi="Arial" w:cs="Arial"/>
          <w:sz w:val="20"/>
          <w:szCs w:val="24"/>
        </w:rPr>
      </w:pPr>
    </w:p>
    <w:p w14:paraId="7F26101A"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Where a household has a taxable earned income of £60,000 or over (consistent with child benefit cap and eligibility for shared ownership housing schemes), the council will charge a fairer rent.</w:t>
      </w:r>
    </w:p>
    <w:p w14:paraId="7244A60F" w14:textId="77777777" w:rsidR="00CD1FC2" w:rsidRPr="00025010" w:rsidRDefault="00CD1FC2" w:rsidP="00CD1FC2">
      <w:pPr>
        <w:pStyle w:val="ListParagraph"/>
        <w:autoSpaceDE w:val="0"/>
        <w:autoSpaceDN w:val="0"/>
        <w:adjustRightInd w:val="0"/>
        <w:spacing w:after="0" w:line="240" w:lineRule="auto"/>
        <w:ind w:left="540"/>
        <w:rPr>
          <w:rFonts w:cs="Arial"/>
          <w:sz w:val="20"/>
          <w:szCs w:val="24"/>
        </w:rPr>
      </w:pPr>
    </w:p>
    <w:p w14:paraId="4EA38DF3"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 xml:space="preserve">The “household” means the tenants named on the tenancy agreement and any tenant’s spouse, civil partner or partner residing in the rental accommodation. </w:t>
      </w:r>
    </w:p>
    <w:p w14:paraId="738990E5" w14:textId="77777777" w:rsidR="00CD1FC2" w:rsidRPr="00025010" w:rsidRDefault="00CD1FC2" w:rsidP="00CD1FC2">
      <w:pPr>
        <w:pStyle w:val="ListParagraph"/>
        <w:autoSpaceDE w:val="0"/>
        <w:autoSpaceDN w:val="0"/>
        <w:adjustRightInd w:val="0"/>
        <w:spacing w:after="0" w:line="240" w:lineRule="auto"/>
        <w:ind w:left="540"/>
        <w:rPr>
          <w:rFonts w:cs="Arial"/>
          <w:sz w:val="20"/>
          <w:szCs w:val="24"/>
        </w:rPr>
      </w:pPr>
    </w:p>
    <w:p w14:paraId="362622B7" w14:textId="1F0A5C97" w:rsidR="00CD1FC2" w:rsidRPr="006D330B" w:rsidRDefault="00CD1FC2"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Where there are more than two incomes that include the tenant, or tenant’s civil partner or spouse, only the two highest taxable income earnings will count towards the £60,000 threshold.</w:t>
      </w:r>
    </w:p>
    <w:p w14:paraId="7A185341" w14:textId="22B89F4D" w:rsidR="00CD1FC2" w:rsidRPr="006D330B"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The income from the previous tax year should be used to calculate the rent for the following year.</w:t>
      </w:r>
    </w:p>
    <w:p w14:paraId="123EDB87"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The council will request that tenants declare information if their incomes exceed this limit in accordance with the terms of their tenancy agreement.</w:t>
      </w:r>
    </w:p>
    <w:p w14:paraId="107887B6" w14:textId="77777777" w:rsidR="00CD1FC2" w:rsidRPr="00025010" w:rsidRDefault="00CD1FC2" w:rsidP="00CD1FC2">
      <w:pPr>
        <w:pStyle w:val="ListParagraph"/>
        <w:autoSpaceDE w:val="0"/>
        <w:autoSpaceDN w:val="0"/>
        <w:adjustRightInd w:val="0"/>
        <w:spacing w:after="0" w:line="240" w:lineRule="auto"/>
        <w:ind w:left="540"/>
        <w:rPr>
          <w:rFonts w:cs="Arial"/>
          <w:sz w:val="16"/>
          <w:szCs w:val="24"/>
        </w:rPr>
      </w:pPr>
    </w:p>
    <w:p w14:paraId="7AFB1766"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Fairer rent will be charged at 80% of the market rental price.</w:t>
      </w:r>
    </w:p>
    <w:p w14:paraId="0DBD8C6F" w14:textId="77777777" w:rsidR="00CD1FC2" w:rsidRPr="00025010" w:rsidRDefault="00CD1FC2" w:rsidP="00CD1FC2">
      <w:pPr>
        <w:pStyle w:val="ListParagraph"/>
        <w:autoSpaceDE w:val="0"/>
        <w:autoSpaceDN w:val="0"/>
        <w:adjustRightInd w:val="0"/>
        <w:spacing w:after="0" w:line="240" w:lineRule="auto"/>
        <w:ind w:left="540"/>
        <w:rPr>
          <w:rFonts w:cs="Arial"/>
          <w:sz w:val="16"/>
          <w:szCs w:val="24"/>
        </w:rPr>
      </w:pPr>
    </w:p>
    <w:p w14:paraId="3BC132D9"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The council will use its discretion to revert the rental charge to social housing rent, if a household is charged fairer rent and is suffering from financial hardship.</w:t>
      </w:r>
    </w:p>
    <w:p w14:paraId="7DC89555" w14:textId="77777777" w:rsidR="00CD1FC2" w:rsidRPr="00025010" w:rsidRDefault="00CD1FC2" w:rsidP="00CD1FC2">
      <w:pPr>
        <w:pStyle w:val="ListParagraph"/>
        <w:autoSpaceDE w:val="0"/>
        <w:autoSpaceDN w:val="0"/>
        <w:adjustRightInd w:val="0"/>
        <w:spacing w:after="0" w:line="240" w:lineRule="auto"/>
        <w:ind w:left="540"/>
        <w:rPr>
          <w:rFonts w:cs="Arial"/>
          <w:sz w:val="16"/>
          <w:szCs w:val="24"/>
        </w:rPr>
      </w:pPr>
    </w:p>
    <w:p w14:paraId="45FEBF85" w14:textId="1EA97467" w:rsidR="00C6146E" w:rsidRPr="006D330B" w:rsidRDefault="00CD1FC2"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Where a high-income social tenant’s tenancy comes to an end, and they vacate the property, we will re-let the property in line with the previous social housing rent.</w:t>
      </w:r>
    </w:p>
    <w:p w14:paraId="59061919" w14:textId="77777777" w:rsidR="00D242F6" w:rsidRDefault="00C6146E" w:rsidP="00B7197C">
      <w:pPr>
        <w:pStyle w:val="Heading2"/>
      </w:pPr>
      <w:r>
        <w:t>Affordable rent</w:t>
      </w:r>
    </w:p>
    <w:p w14:paraId="741747A1" w14:textId="29957FA0" w:rsidR="00D242F6" w:rsidRPr="006D330B" w:rsidRDefault="00C6146E"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D242F6">
        <w:rPr>
          <w:sz w:val="24"/>
          <w:szCs w:val="24"/>
        </w:rPr>
        <w:t xml:space="preserve">The introduction </w:t>
      </w:r>
      <w:r w:rsidR="004C1DED" w:rsidRPr="00D242F6">
        <w:rPr>
          <w:sz w:val="24"/>
          <w:szCs w:val="24"/>
        </w:rPr>
        <w:t xml:space="preserve">of Affordable rent </w:t>
      </w:r>
      <w:r w:rsidRPr="00D242F6">
        <w:rPr>
          <w:sz w:val="24"/>
          <w:szCs w:val="24"/>
        </w:rPr>
        <w:t>co</w:t>
      </w:r>
      <w:r w:rsidR="004C1DED" w:rsidRPr="00D242F6">
        <w:rPr>
          <w:sz w:val="24"/>
          <w:szCs w:val="24"/>
        </w:rPr>
        <w:t>mmence</w:t>
      </w:r>
      <w:r w:rsidR="00041533">
        <w:rPr>
          <w:sz w:val="24"/>
          <w:szCs w:val="24"/>
        </w:rPr>
        <w:t>d</w:t>
      </w:r>
      <w:r w:rsidR="004C1DED" w:rsidRPr="00D242F6">
        <w:rPr>
          <w:sz w:val="24"/>
          <w:szCs w:val="24"/>
        </w:rPr>
        <w:t xml:space="preserve"> during the 202</w:t>
      </w:r>
      <w:r w:rsidR="00041533">
        <w:rPr>
          <w:sz w:val="24"/>
          <w:szCs w:val="24"/>
        </w:rPr>
        <w:t>0</w:t>
      </w:r>
      <w:r w:rsidR="004C1DED" w:rsidRPr="00D242F6">
        <w:rPr>
          <w:sz w:val="24"/>
          <w:szCs w:val="24"/>
        </w:rPr>
        <w:t>/2</w:t>
      </w:r>
      <w:r w:rsidR="00041533">
        <w:rPr>
          <w:sz w:val="24"/>
          <w:szCs w:val="24"/>
        </w:rPr>
        <w:t>1</w:t>
      </w:r>
      <w:r w:rsidR="004C1DED" w:rsidRPr="00D242F6">
        <w:rPr>
          <w:sz w:val="24"/>
          <w:szCs w:val="24"/>
        </w:rPr>
        <w:t xml:space="preserve"> year fo</w:t>
      </w:r>
      <w:r w:rsidR="002A04C2">
        <w:rPr>
          <w:sz w:val="24"/>
          <w:szCs w:val="24"/>
        </w:rPr>
        <w:t xml:space="preserve">r </w:t>
      </w:r>
      <w:r w:rsidR="00041533">
        <w:rPr>
          <w:sz w:val="24"/>
          <w:szCs w:val="24"/>
        </w:rPr>
        <w:t xml:space="preserve">some </w:t>
      </w:r>
      <w:r w:rsidR="002A04C2">
        <w:rPr>
          <w:sz w:val="24"/>
          <w:szCs w:val="24"/>
        </w:rPr>
        <w:t>new build</w:t>
      </w:r>
      <w:r w:rsidR="00D242F6" w:rsidRPr="00D242F6">
        <w:rPr>
          <w:sz w:val="24"/>
          <w:szCs w:val="24"/>
        </w:rPr>
        <w:t xml:space="preserve"> units.</w:t>
      </w:r>
    </w:p>
    <w:p w14:paraId="454FE280" w14:textId="1B560BC0" w:rsidR="00246C2B" w:rsidRPr="006D330B" w:rsidRDefault="00C6146E"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D242F6">
        <w:rPr>
          <w:sz w:val="24"/>
          <w:szCs w:val="24"/>
        </w:rPr>
        <w:t xml:space="preserve">The MHCLG Rent Setting policy </w:t>
      </w:r>
      <w:r w:rsidR="004C1DED" w:rsidRPr="00D242F6">
        <w:rPr>
          <w:sz w:val="24"/>
          <w:szCs w:val="24"/>
        </w:rPr>
        <w:t>states that the rent for affordable rent housing (inclusive of service charges) must not ex</w:t>
      </w:r>
      <w:r w:rsidR="00D242F6" w:rsidRPr="00D242F6">
        <w:rPr>
          <w:sz w:val="24"/>
          <w:szCs w:val="24"/>
        </w:rPr>
        <w:t>ceed 80% of gross market value.</w:t>
      </w:r>
    </w:p>
    <w:p w14:paraId="3C0343D2" w14:textId="2196C8DF" w:rsidR="00D242F6" w:rsidRPr="006D330B" w:rsidRDefault="00246C2B" w:rsidP="00D242F6">
      <w:pPr>
        <w:pStyle w:val="ListParagraph"/>
        <w:numPr>
          <w:ilvl w:val="1"/>
          <w:numId w:val="1"/>
        </w:numPr>
        <w:autoSpaceDE w:val="0"/>
        <w:autoSpaceDN w:val="0"/>
        <w:adjustRightInd w:val="0"/>
        <w:spacing w:after="0" w:line="240" w:lineRule="auto"/>
        <w:ind w:left="540" w:hanging="540"/>
        <w:rPr>
          <w:rFonts w:cs="Arial"/>
          <w:sz w:val="24"/>
          <w:szCs w:val="24"/>
        </w:rPr>
      </w:pPr>
      <w:r w:rsidRPr="00246C2B">
        <w:rPr>
          <w:sz w:val="24"/>
          <w:szCs w:val="24"/>
        </w:rPr>
        <w:t xml:space="preserve">When an affordable rent property becomes void and relet to a new tenant, it will be based on the new market rent valuation to ensure new rent is no more than 80% of the market rent at that time. </w:t>
      </w:r>
    </w:p>
    <w:p w14:paraId="0F6A2AAD" w14:textId="36ECEFDB" w:rsidR="004413ED" w:rsidRPr="006D330B" w:rsidRDefault="00B7197C" w:rsidP="006D330B">
      <w:pPr>
        <w:pStyle w:val="ListParagraph"/>
        <w:numPr>
          <w:ilvl w:val="1"/>
          <w:numId w:val="1"/>
        </w:numPr>
        <w:autoSpaceDE w:val="0"/>
        <w:autoSpaceDN w:val="0"/>
        <w:adjustRightInd w:val="0"/>
        <w:spacing w:after="0" w:line="240" w:lineRule="auto"/>
        <w:ind w:left="540" w:hanging="540"/>
        <w:rPr>
          <w:rFonts w:cs="Arial"/>
          <w:sz w:val="24"/>
          <w:szCs w:val="24"/>
        </w:rPr>
      </w:pPr>
      <w:r>
        <w:rPr>
          <w:sz w:val="24"/>
          <w:szCs w:val="24"/>
        </w:rPr>
        <w:t>‘</w:t>
      </w:r>
      <w:r w:rsidR="004C1DED" w:rsidRPr="00D242F6">
        <w:rPr>
          <w:sz w:val="24"/>
          <w:szCs w:val="24"/>
        </w:rPr>
        <w:t>Gross market rent</w:t>
      </w:r>
      <w:r>
        <w:rPr>
          <w:sz w:val="24"/>
          <w:szCs w:val="24"/>
        </w:rPr>
        <w:t>’</w:t>
      </w:r>
      <w:r w:rsidR="004C1DED" w:rsidRPr="00D242F6">
        <w:rPr>
          <w:sz w:val="24"/>
          <w:szCs w:val="24"/>
        </w:rPr>
        <w:t xml:space="preserve"> means the rent (inclusive of any applicable service charges) for which the accommodation might reasonably be expected to be let in the private rented sector. Property size, location type and service provision must be </w:t>
      </w:r>
      <w:proofErr w:type="gramStart"/>
      <w:r w:rsidR="004C1DED" w:rsidRPr="00D242F6">
        <w:rPr>
          <w:sz w:val="24"/>
          <w:szCs w:val="24"/>
        </w:rPr>
        <w:t>take</w:t>
      </w:r>
      <w:r w:rsidR="00D242F6" w:rsidRPr="00D242F6">
        <w:rPr>
          <w:sz w:val="24"/>
          <w:szCs w:val="24"/>
        </w:rPr>
        <w:t>n into account</w:t>
      </w:r>
      <w:proofErr w:type="gramEnd"/>
      <w:r w:rsidR="00D242F6" w:rsidRPr="00D242F6">
        <w:rPr>
          <w:sz w:val="24"/>
          <w:szCs w:val="24"/>
        </w:rPr>
        <w:t>.</w:t>
      </w:r>
    </w:p>
    <w:p w14:paraId="069FEBEC" w14:textId="453A3845" w:rsidR="002A04C2" w:rsidRPr="006D330B" w:rsidRDefault="004413ED" w:rsidP="006D330B">
      <w:pPr>
        <w:pStyle w:val="ListParagraph"/>
        <w:numPr>
          <w:ilvl w:val="1"/>
          <w:numId w:val="1"/>
        </w:numPr>
        <w:autoSpaceDE w:val="0"/>
        <w:autoSpaceDN w:val="0"/>
        <w:adjustRightInd w:val="0"/>
        <w:spacing w:after="0" w:line="240" w:lineRule="auto"/>
        <w:ind w:left="540" w:hanging="540"/>
        <w:rPr>
          <w:rFonts w:cs="Arial"/>
          <w:sz w:val="24"/>
          <w:szCs w:val="24"/>
        </w:rPr>
      </w:pPr>
      <w:r>
        <w:rPr>
          <w:rFonts w:cs="Arial"/>
          <w:sz w:val="24"/>
          <w:szCs w:val="24"/>
        </w:rPr>
        <w:t xml:space="preserve">Affordable rents will be capped at the Local Housing Allowance </w:t>
      </w:r>
      <w:r w:rsidR="00B7197C">
        <w:rPr>
          <w:rFonts w:cs="Arial"/>
          <w:sz w:val="24"/>
          <w:szCs w:val="24"/>
        </w:rPr>
        <w:t xml:space="preserve">(LHA) </w:t>
      </w:r>
      <w:r>
        <w:rPr>
          <w:rFonts w:cs="Arial"/>
          <w:sz w:val="24"/>
          <w:szCs w:val="24"/>
        </w:rPr>
        <w:t>and will n</w:t>
      </w:r>
      <w:r w:rsidR="002A04C2">
        <w:rPr>
          <w:rFonts w:cs="Arial"/>
          <w:sz w:val="24"/>
          <w:szCs w:val="24"/>
        </w:rPr>
        <w:t>ot be lower than formula rents.</w:t>
      </w:r>
    </w:p>
    <w:p w14:paraId="402A67AB" w14:textId="77777777" w:rsidR="002A04C2" w:rsidRPr="004413ED" w:rsidRDefault="002A04C2" w:rsidP="00C6146E">
      <w:pPr>
        <w:pStyle w:val="ListParagraph"/>
        <w:numPr>
          <w:ilvl w:val="1"/>
          <w:numId w:val="1"/>
        </w:numPr>
        <w:autoSpaceDE w:val="0"/>
        <w:autoSpaceDN w:val="0"/>
        <w:adjustRightInd w:val="0"/>
        <w:spacing w:after="0" w:line="240" w:lineRule="auto"/>
        <w:ind w:left="540" w:hanging="540"/>
        <w:rPr>
          <w:rFonts w:cs="Arial"/>
          <w:sz w:val="24"/>
          <w:szCs w:val="24"/>
        </w:rPr>
      </w:pPr>
      <w:r>
        <w:rPr>
          <w:rFonts w:cs="Arial"/>
          <w:sz w:val="24"/>
          <w:szCs w:val="24"/>
        </w:rPr>
        <w:t xml:space="preserve">Social landlords are permitted to increase affordable rents </w:t>
      </w:r>
      <w:r w:rsidRPr="00025010">
        <w:rPr>
          <w:rFonts w:cs="Arial"/>
          <w:sz w:val="24"/>
          <w:szCs w:val="24"/>
          <w:lang w:val="en-US"/>
        </w:rPr>
        <w:t xml:space="preserve">by Consumer Price Index (CPI) plus 1% each year from April 2020 for a period of 5 years. </w:t>
      </w:r>
    </w:p>
    <w:p w14:paraId="35D7E808" w14:textId="77777777" w:rsidR="00CD1FC2" w:rsidRPr="00B96473" w:rsidRDefault="00CD1FC2" w:rsidP="00CD1FC2">
      <w:pPr>
        <w:pStyle w:val="ListParagraph"/>
        <w:autoSpaceDE w:val="0"/>
        <w:autoSpaceDN w:val="0"/>
        <w:adjustRightInd w:val="0"/>
        <w:spacing w:after="0" w:line="240" w:lineRule="auto"/>
        <w:ind w:left="1224"/>
        <w:rPr>
          <w:rFonts w:ascii="Arial" w:hAnsi="Arial" w:cs="Arial"/>
          <w:sz w:val="16"/>
          <w:szCs w:val="20"/>
        </w:rPr>
      </w:pPr>
    </w:p>
    <w:p w14:paraId="36ED5DBD" w14:textId="77777777" w:rsidR="00CD1FC2" w:rsidRDefault="00CD1FC2" w:rsidP="00463A35">
      <w:pPr>
        <w:pStyle w:val="Heading2"/>
      </w:pPr>
      <w:r w:rsidRPr="00B96473">
        <w:t>Garages</w:t>
      </w:r>
    </w:p>
    <w:p w14:paraId="4B31E58A" w14:textId="77777777" w:rsidR="00CD1FC2" w:rsidRPr="007C127C" w:rsidRDefault="00CD1FC2" w:rsidP="00CD1FC2">
      <w:pPr>
        <w:autoSpaceDE w:val="0"/>
        <w:autoSpaceDN w:val="0"/>
        <w:adjustRightInd w:val="0"/>
        <w:spacing w:after="0" w:line="240" w:lineRule="auto"/>
        <w:rPr>
          <w:rFonts w:ascii="Arial" w:hAnsi="Arial" w:cs="Arial"/>
          <w:b/>
          <w:sz w:val="24"/>
          <w:szCs w:val="24"/>
        </w:rPr>
      </w:pPr>
    </w:p>
    <w:p w14:paraId="06D38C16" w14:textId="4E326BA9" w:rsidR="00BB1959" w:rsidRPr="006D330B" w:rsidRDefault="00A93FF6" w:rsidP="006D330B">
      <w:pPr>
        <w:numPr>
          <w:ilvl w:val="1"/>
          <w:numId w:val="1"/>
        </w:numPr>
        <w:tabs>
          <w:tab w:val="left" w:pos="360"/>
          <w:tab w:val="left" w:pos="11220"/>
        </w:tabs>
        <w:spacing w:after="0" w:line="240" w:lineRule="auto"/>
        <w:ind w:left="567" w:hanging="567"/>
        <w:rPr>
          <w:rFonts w:cs="Arial"/>
          <w:sz w:val="24"/>
          <w:szCs w:val="24"/>
          <w:lang w:val="en-US"/>
        </w:rPr>
      </w:pPr>
      <w:r>
        <w:rPr>
          <w:rFonts w:cs="Arial"/>
          <w:sz w:val="24"/>
          <w:szCs w:val="24"/>
          <w:lang w:val="en-US"/>
        </w:rPr>
        <w:t>Since</w:t>
      </w:r>
      <w:r w:rsidRPr="00025010">
        <w:rPr>
          <w:rFonts w:cs="Arial"/>
          <w:sz w:val="24"/>
          <w:szCs w:val="24"/>
          <w:lang w:val="en-US"/>
        </w:rPr>
        <w:t xml:space="preserve"> April 20</w:t>
      </w:r>
      <w:r>
        <w:rPr>
          <w:rFonts w:cs="Arial"/>
          <w:sz w:val="24"/>
          <w:szCs w:val="24"/>
          <w:lang w:val="en-US"/>
        </w:rPr>
        <w:t>20 a standard rent has been charged for all garages, regardless of tenure.</w:t>
      </w:r>
    </w:p>
    <w:p w14:paraId="06E59AAD" w14:textId="5A500762" w:rsidR="00BB1959" w:rsidRPr="00025010" w:rsidRDefault="00BB1959" w:rsidP="00CD1FC2">
      <w:pPr>
        <w:numPr>
          <w:ilvl w:val="1"/>
          <w:numId w:val="1"/>
        </w:numPr>
        <w:tabs>
          <w:tab w:val="left" w:pos="567"/>
          <w:tab w:val="left" w:pos="11220"/>
        </w:tabs>
        <w:spacing w:after="0" w:line="240" w:lineRule="auto"/>
        <w:ind w:left="567" w:hanging="567"/>
        <w:rPr>
          <w:rFonts w:cs="Arial"/>
          <w:sz w:val="24"/>
          <w:szCs w:val="24"/>
          <w:lang w:val="en-US"/>
        </w:rPr>
      </w:pPr>
      <w:r>
        <w:rPr>
          <w:rFonts w:cs="Arial"/>
          <w:sz w:val="24"/>
          <w:szCs w:val="24"/>
          <w:lang w:val="en-US"/>
        </w:rPr>
        <w:t>Any changes to charges will be agreed through the annual budget setting process</w:t>
      </w:r>
    </w:p>
    <w:p w14:paraId="0A110A9B" w14:textId="77777777" w:rsidR="00CD1FC2" w:rsidRPr="00737929" w:rsidRDefault="00CD1FC2" w:rsidP="00CD1FC2">
      <w:pPr>
        <w:tabs>
          <w:tab w:val="left" w:pos="567"/>
          <w:tab w:val="left" w:pos="11220"/>
        </w:tabs>
        <w:spacing w:after="0" w:line="240" w:lineRule="auto"/>
        <w:ind w:left="567"/>
        <w:rPr>
          <w:rFonts w:ascii="Arial" w:hAnsi="Arial" w:cs="Arial"/>
          <w:sz w:val="24"/>
          <w:szCs w:val="24"/>
          <w:lang w:val="en-US"/>
        </w:rPr>
      </w:pPr>
    </w:p>
    <w:p w14:paraId="4AD09195" w14:textId="77777777" w:rsidR="00CD1FC2" w:rsidRDefault="00CD1FC2" w:rsidP="00463A35">
      <w:pPr>
        <w:pStyle w:val="Heading2"/>
      </w:pPr>
      <w:r w:rsidRPr="00B96473">
        <w:t>Consultation</w:t>
      </w:r>
    </w:p>
    <w:p w14:paraId="3E6DE097" w14:textId="77777777" w:rsidR="00CD1FC2" w:rsidRPr="00025010" w:rsidRDefault="00CD1FC2" w:rsidP="00CD1FC2">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The council will consult with residents on the budget that includes information on changes to rental charges on an annual basis.</w:t>
      </w:r>
    </w:p>
    <w:p w14:paraId="184DC412" w14:textId="77777777" w:rsidR="00CD1FC2" w:rsidRPr="00025010" w:rsidRDefault="00CD1FC2" w:rsidP="00CD1FC2">
      <w:pPr>
        <w:autoSpaceDE w:val="0"/>
        <w:autoSpaceDN w:val="0"/>
        <w:adjustRightInd w:val="0"/>
        <w:spacing w:after="0" w:line="240" w:lineRule="auto"/>
        <w:rPr>
          <w:rFonts w:cs="Arial"/>
          <w:b/>
          <w:sz w:val="24"/>
          <w:szCs w:val="24"/>
        </w:rPr>
      </w:pPr>
    </w:p>
    <w:p w14:paraId="7827B0FD" w14:textId="0D0F6E6F" w:rsidR="00C131B0" w:rsidRPr="006D330B" w:rsidRDefault="00CD1FC2" w:rsidP="006D330B">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The council will vary rent annually by giving tenants at least 28 days’ notice.</w:t>
      </w:r>
    </w:p>
    <w:p w14:paraId="573CF3EA" w14:textId="77777777" w:rsidR="00CD1FC2" w:rsidRDefault="00CD1FC2" w:rsidP="00463A35">
      <w:pPr>
        <w:pStyle w:val="Heading2"/>
      </w:pPr>
      <w:r w:rsidRPr="00B96473">
        <w:t>Rent Charge period</w:t>
      </w:r>
    </w:p>
    <w:p w14:paraId="58664687" w14:textId="77777777" w:rsidR="00CD1FC2" w:rsidRPr="00BB301E" w:rsidRDefault="00CD1FC2" w:rsidP="00CD1FC2">
      <w:pPr>
        <w:autoSpaceDE w:val="0"/>
        <w:autoSpaceDN w:val="0"/>
        <w:adjustRightInd w:val="0"/>
        <w:spacing w:after="0" w:line="240" w:lineRule="auto"/>
        <w:rPr>
          <w:rFonts w:ascii="Arial" w:hAnsi="Arial" w:cs="Arial"/>
          <w:b/>
          <w:sz w:val="24"/>
          <w:szCs w:val="24"/>
        </w:rPr>
      </w:pPr>
    </w:p>
    <w:p w14:paraId="66AC7FCF" w14:textId="77777777" w:rsidR="00CD1FC2" w:rsidRPr="00025010" w:rsidRDefault="00CD1FC2" w:rsidP="00463A35">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 xml:space="preserve">Rents are charged based on a weekly basis. </w:t>
      </w:r>
    </w:p>
    <w:p w14:paraId="02B00F14" w14:textId="77777777" w:rsidR="00AA150F" w:rsidRDefault="00AA150F" w:rsidP="00AA150F">
      <w:pPr>
        <w:pStyle w:val="Heading1"/>
        <w:numPr>
          <w:ilvl w:val="0"/>
          <w:numId w:val="1"/>
        </w:numPr>
      </w:pPr>
      <w:r>
        <w:t>Role, responsibilities and authority</w:t>
      </w:r>
    </w:p>
    <w:p w14:paraId="373F34CE" w14:textId="77777777" w:rsidR="00463A35" w:rsidRPr="00025010" w:rsidRDefault="00463A35" w:rsidP="00463A35">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It is the decision for Full Council to set the yearly change to rental charges as this forms part of the council’s budget and policy framework.</w:t>
      </w:r>
    </w:p>
    <w:p w14:paraId="0ED981B5" w14:textId="77777777" w:rsidR="00463A35" w:rsidRPr="00025010" w:rsidRDefault="00463A35" w:rsidP="00463A35">
      <w:pPr>
        <w:pStyle w:val="ListParagraph"/>
        <w:autoSpaceDE w:val="0"/>
        <w:autoSpaceDN w:val="0"/>
        <w:adjustRightInd w:val="0"/>
        <w:spacing w:after="0" w:line="240" w:lineRule="auto"/>
        <w:ind w:left="540"/>
        <w:rPr>
          <w:rFonts w:cs="Arial"/>
          <w:sz w:val="16"/>
          <w:szCs w:val="24"/>
        </w:rPr>
      </w:pPr>
    </w:p>
    <w:p w14:paraId="4951B014" w14:textId="1C20BEA5" w:rsidR="00CB11CD" w:rsidRPr="00025010" w:rsidRDefault="00463A35" w:rsidP="00CB11CD">
      <w:pPr>
        <w:pStyle w:val="ListParagraph"/>
        <w:numPr>
          <w:ilvl w:val="1"/>
          <w:numId w:val="1"/>
        </w:numPr>
        <w:autoSpaceDE w:val="0"/>
        <w:autoSpaceDN w:val="0"/>
        <w:adjustRightInd w:val="0"/>
        <w:spacing w:after="0" w:line="240" w:lineRule="auto"/>
        <w:ind w:left="540" w:hanging="540"/>
        <w:rPr>
          <w:rFonts w:cs="Arial"/>
          <w:sz w:val="24"/>
          <w:szCs w:val="24"/>
        </w:rPr>
      </w:pPr>
      <w:r w:rsidRPr="00025010">
        <w:rPr>
          <w:rFonts w:cs="Arial"/>
          <w:sz w:val="24"/>
          <w:szCs w:val="24"/>
        </w:rPr>
        <w:t xml:space="preserve">The Head of </w:t>
      </w:r>
      <w:r w:rsidR="00C131B0">
        <w:rPr>
          <w:rFonts w:cs="Arial"/>
          <w:sz w:val="24"/>
          <w:szCs w:val="24"/>
        </w:rPr>
        <w:t xml:space="preserve">Tenant Services </w:t>
      </w:r>
      <w:r w:rsidRPr="00025010">
        <w:rPr>
          <w:rFonts w:cs="Arial"/>
          <w:sz w:val="24"/>
          <w:szCs w:val="24"/>
        </w:rPr>
        <w:t>has responsibility for ensuring that all associated processes are followed.</w:t>
      </w:r>
    </w:p>
    <w:p w14:paraId="5DDCD95D" w14:textId="77777777" w:rsidR="00AA150F" w:rsidRDefault="00AA150F" w:rsidP="00AA150F">
      <w:pPr>
        <w:pStyle w:val="Heading1"/>
        <w:numPr>
          <w:ilvl w:val="0"/>
          <w:numId w:val="1"/>
        </w:numPr>
      </w:pPr>
      <w:r>
        <w:t>Monitoring, review and evaluation</w:t>
      </w:r>
    </w:p>
    <w:p w14:paraId="7C8BA66A" w14:textId="77777777" w:rsidR="00463A35" w:rsidRPr="00025010" w:rsidRDefault="00463A35" w:rsidP="00463A35">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 xml:space="preserve">Performance of rental income collected is monitored and reported </w:t>
      </w:r>
      <w:proofErr w:type="gramStart"/>
      <w:r w:rsidRPr="00025010">
        <w:rPr>
          <w:rFonts w:cs="Arial"/>
          <w:sz w:val="24"/>
          <w:szCs w:val="24"/>
        </w:rPr>
        <w:t>on a monthly basis</w:t>
      </w:r>
      <w:proofErr w:type="gramEnd"/>
      <w:r w:rsidRPr="00025010">
        <w:rPr>
          <w:rFonts w:cs="Arial"/>
          <w:sz w:val="24"/>
          <w:szCs w:val="24"/>
        </w:rPr>
        <w:t>.</w:t>
      </w:r>
    </w:p>
    <w:p w14:paraId="147C245A" w14:textId="77777777" w:rsidR="00463A35" w:rsidRPr="00025010" w:rsidRDefault="00463A35" w:rsidP="00463A35">
      <w:pPr>
        <w:pStyle w:val="ListParagraph"/>
        <w:autoSpaceDE w:val="0"/>
        <w:autoSpaceDN w:val="0"/>
        <w:adjustRightInd w:val="0"/>
        <w:spacing w:after="0" w:line="240" w:lineRule="auto"/>
        <w:ind w:left="540"/>
        <w:rPr>
          <w:rFonts w:cs="Arial"/>
          <w:sz w:val="20"/>
          <w:szCs w:val="24"/>
        </w:rPr>
      </w:pPr>
    </w:p>
    <w:p w14:paraId="798B3D46" w14:textId="34AAE0BD" w:rsidR="00463A35" w:rsidRPr="00025010" w:rsidRDefault="00463A35" w:rsidP="00463A35">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 xml:space="preserve">Elements within the policy have been considered within the </w:t>
      </w:r>
      <w:r w:rsidR="00C131B0" w:rsidRPr="00025010">
        <w:rPr>
          <w:rFonts w:cs="Arial"/>
          <w:sz w:val="24"/>
          <w:szCs w:val="24"/>
        </w:rPr>
        <w:t>20</w:t>
      </w:r>
      <w:r w:rsidR="00C131B0">
        <w:rPr>
          <w:rFonts w:cs="Arial"/>
          <w:sz w:val="24"/>
          <w:szCs w:val="24"/>
        </w:rPr>
        <w:t>2</w:t>
      </w:r>
      <w:r w:rsidR="0078059A">
        <w:rPr>
          <w:rFonts w:cs="Arial"/>
          <w:sz w:val="24"/>
          <w:szCs w:val="24"/>
        </w:rPr>
        <w:t>5</w:t>
      </w:r>
      <w:r w:rsidR="00C131B0" w:rsidRPr="00025010">
        <w:rPr>
          <w:rFonts w:cs="Arial"/>
          <w:sz w:val="24"/>
          <w:szCs w:val="24"/>
        </w:rPr>
        <w:t>/</w:t>
      </w:r>
      <w:r w:rsidR="00C131B0">
        <w:rPr>
          <w:rFonts w:cs="Arial"/>
          <w:sz w:val="24"/>
          <w:szCs w:val="24"/>
        </w:rPr>
        <w:t>2</w:t>
      </w:r>
      <w:r w:rsidR="0078059A">
        <w:rPr>
          <w:rFonts w:cs="Arial"/>
          <w:sz w:val="24"/>
          <w:szCs w:val="24"/>
        </w:rPr>
        <w:t>6</w:t>
      </w:r>
      <w:r w:rsidR="00C131B0">
        <w:rPr>
          <w:rFonts w:cs="Arial"/>
          <w:sz w:val="24"/>
          <w:szCs w:val="24"/>
        </w:rPr>
        <w:t xml:space="preserve"> </w:t>
      </w:r>
      <w:r w:rsidRPr="00025010">
        <w:rPr>
          <w:rFonts w:cs="Arial"/>
          <w:sz w:val="24"/>
          <w:szCs w:val="24"/>
        </w:rPr>
        <w:t>HRA budget setting Diversity Impact Assessment.</w:t>
      </w:r>
    </w:p>
    <w:p w14:paraId="6DBAA98D" w14:textId="77777777" w:rsidR="00463A35" w:rsidRPr="00025010" w:rsidRDefault="00463A35" w:rsidP="00463A35">
      <w:pPr>
        <w:pStyle w:val="ListParagraph"/>
        <w:autoSpaceDE w:val="0"/>
        <w:autoSpaceDN w:val="0"/>
        <w:adjustRightInd w:val="0"/>
        <w:spacing w:after="0" w:line="240" w:lineRule="auto"/>
        <w:ind w:left="540"/>
        <w:rPr>
          <w:rFonts w:cs="Arial"/>
          <w:sz w:val="16"/>
          <w:szCs w:val="24"/>
        </w:rPr>
      </w:pPr>
    </w:p>
    <w:p w14:paraId="2D0781A2" w14:textId="77777777" w:rsidR="00463A35" w:rsidRPr="00025010" w:rsidRDefault="00463A35" w:rsidP="00463A35">
      <w:pPr>
        <w:pStyle w:val="ListParagraph"/>
        <w:numPr>
          <w:ilvl w:val="1"/>
          <w:numId w:val="1"/>
        </w:numPr>
        <w:autoSpaceDE w:val="0"/>
        <w:autoSpaceDN w:val="0"/>
        <w:adjustRightInd w:val="0"/>
        <w:spacing w:after="0" w:line="240" w:lineRule="auto"/>
        <w:rPr>
          <w:rFonts w:cs="Arial"/>
          <w:sz w:val="24"/>
          <w:szCs w:val="24"/>
        </w:rPr>
      </w:pPr>
      <w:r w:rsidRPr="00025010">
        <w:rPr>
          <w:rFonts w:cs="Arial"/>
          <w:sz w:val="24"/>
          <w:szCs w:val="24"/>
        </w:rPr>
        <w:t>Landlord Services will review this policy on an annual basis.</w:t>
      </w:r>
    </w:p>
    <w:p w14:paraId="1404DDA0" w14:textId="77777777" w:rsidR="00CB11CD" w:rsidRDefault="00CB11CD" w:rsidP="00CB11CD">
      <w:pPr>
        <w:pStyle w:val="BodyText"/>
        <w:tabs>
          <w:tab w:val="left" w:pos="540"/>
        </w:tabs>
        <w:ind w:left="720"/>
        <w:rPr>
          <w:lang w:val="en-GB"/>
        </w:rPr>
      </w:pPr>
    </w:p>
    <w:p w14:paraId="19B6F854" w14:textId="77777777" w:rsidR="00CB11CD" w:rsidRDefault="00CB11CD" w:rsidP="00AA150F">
      <w:pPr>
        <w:rPr>
          <w:rFonts w:ascii="Arial" w:eastAsia="Times New Roman" w:hAnsi="Arial" w:cs="Arial"/>
          <w:sz w:val="24"/>
          <w:szCs w:val="24"/>
        </w:rPr>
      </w:pPr>
    </w:p>
    <w:p w14:paraId="1B6160A5" w14:textId="75241E48" w:rsidR="00AA150F" w:rsidRDefault="00463A35" w:rsidP="00AA150F">
      <w:r>
        <w:t>Th</w:t>
      </w:r>
      <w:r w:rsidR="00025010">
        <w:t xml:space="preserve">is version published: </w:t>
      </w:r>
      <w:r w:rsidR="003652B1">
        <w:t>January 2025</w:t>
      </w:r>
    </w:p>
    <w:p w14:paraId="01C56147" w14:textId="3E4F63AB" w:rsidR="00AA150F" w:rsidRDefault="00463A35" w:rsidP="00AA150F">
      <w:r>
        <w:t xml:space="preserve">Next review due: </w:t>
      </w:r>
      <w:r w:rsidR="003652B1">
        <w:t>January 2026</w:t>
      </w:r>
    </w:p>
    <w:p w14:paraId="0C319146"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171A2" w14:textId="77777777" w:rsidR="003F1C7F" w:rsidRDefault="003F1C7F" w:rsidP="004B135C">
      <w:pPr>
        <w:spacing w:after="0" w:line="240" w:lineRule="auto"/>
      </w:pPr>
      <w:r>
        <w:separator/>
      </w:r>
    </w:p>
  </w:endnote>
  <w:endnote w:type="continuationSeparator" w:id="0">
    <w:p w14:paraId="402EDC99" w14:textId="77777777" w:rsidR="003F1C7F" w:rsidRDefault="003F1C7F"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DB541DA"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46C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6C2B">
              <w:rPr>
                <w:b/>
                <w:bCs/>
                <w:noProof/>
              </w:rPr>
              <w:t>4</w:t>
            </w:r>
            <w:r>
              <w:rPr>
                <w:b/>
                <w:bCs/>
                <w:sz w:val="24"/>
                <w:szCs w:val="24"/>
              </w:rPr>
              <w:fldChar w:fldCharType="end"/>
            </w:r>
          </w:p>
        </w:sdtContent>
      </w:sdt>
    </w:sdtContent>
  </w:sdt>
  <w:p w14:paraId="7DAC12AC"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3F70" w14:textId="77777777" w:rsidR="003F1C7F" w:rsidRDefault="003F1C7F" w:rsidP="004B135C">
      <w:pPr>
        <w:spacing w:after="0" w:line="240" w:lineRule="auto"/>
      </w:pPr>
      <w:r>
        <w:separator/>
      </w:r>
    </w:p>
  </w:footnote>
  <w:footnote w:type="continuationSeparator" w:id="0">
    <w:p w14:paraId="67446A56" w14:textId="77777777" w:rsidR="003F1C7F" w:rsidRDefault="003F1C7F"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3FE6113"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3A83"/>
    <w:multiLevelType w:val="multilevel"/>
    <w:tmpl w:val="D66CAB1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4EC46E64"/>
    <w:multiLevelType w:val="multilevel"/>
    <w:tmpl w:val="9CAA9F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7F0490"/>
    <w:multiLevelType w:val="multilevel"/>
    <w:tmpl w:val="9CAA9F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AB3BE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74368604">
    <w:abstractNumId w:val="1"/>
  </w:num>
  <w:num w:numId="2" w16cid:durableId="2054846970">
    <w:abstractNumId w:val="2"/>
  </w:num>
  <w:num w:numId="3" w16cid:durableId="467012517">
    <w:abstractNumId w:val="5"/>
  </w:num>
  <w:num w:numId="4" w16cid:durableId="1480268319">
    <w:abstractNumId w:val="0"/>
  </w:num>
  <w:num w:numId="5" w16cid:durableId="71972895">
    <w:abstractNumId w:val="3"/>
  </w:num>
  <w:num w:numId="6" w16cid:durableId="281886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25010"/>
    <w:rsid w:val="00041533"/>
    <w:rsid w:val="00046942"/>
    <w:rsid w:val="0005183E"/>
    <w:rsid w:val="00072269"/>
    <w:rsid w:val="00072657"/>
    <w:rsid w:val="00225B96"/>
    <w:rsid w:val="00246C2B"/>
    <w:rsid w:val="0029269A"/>
    <w:rsid w:val="002A04C2"/>
    <w:rsid w:val="002B02EF"/>
    <w:rsid w:val="002B6749"/>
    <w:rsid w:val="002F0FCD"/>
    <w:rsid w:val="003176B6"/>
    <w:rsid w:val="0034714F"/>
    <w:rsid w:val="003652B1"/>
    <w:rsid w:val="0039161F"/>
    <w:rsid w:val="003F1C7F"/>
    <w:rsid w:val="00403665"/>
    <w:rsid w:val="004413ED"/>
    <w:rsid w:val="00463A35"/>
    <w:rsid w:val="004B135C"/>
    <w:rsid w:val="004C1DED"/>
    <w:rsid w:val="004E1AEF"/>
    <w:rsid w:val="00611884"/>
    <w:rsid w:val="00612008"/>
    <w:rsid w:val="00663334"/>
    <w:rsid w:val="00680973"/>
    <w:rsid w:val="006C3C12"/>
    <w:rsid w:val="006D330B"/>
    <w:rsid w:val="007062ED"/>
    <w:rsid w:val="00723A7E"/>
    <w:rsid w:val="0078059A"/>
    <w:rsid w:val="00792385"/>
    <w:rsid w:val="007B4424"/>
    <w:rsid w:val="00817005"/>
    <w:rsid w:val="00835EB0"/>
    <w:rsid w:val="00850BDE"/>
    <w:rsid w:val="008B0E10"/>
    <w:rsid w:val="00906BE9"/>
    <w:rsid w:val="009C30C2"/>
    <w:rsid w:val="00A00E67"/>
    <w:rsid w:val="00A36E66"/>
    <w:rsid w:val="00A93FF6"/>
    <w:rsid w:val="00AA150F"/>
    <w:rsid w:val="00B14ED7"/>
    <w:rsid w:val="00B7197C"/>
    <w:rsid w:val="00BB1959"/>
    <w:rsid w:val="00BB33AB"/>
    <w:rsid w:val="00BC7162"/>
    <w:rsid w:val="00C131B0"/>
    <w:rsid w:val="00C6146E"/>
    <w:rsid w:val="00C63FA1"/>
    <w:rsid w:val="00CB11CD"/>
    <w:rsid w:val="00CB2E44"/>
    <w:rsid w:val="00CD1FC2"/>
    <w:rsid w:val="00CE348D"/>
    <w:rsid w:val="00D242F6"/>
    <w:rsid w:val="00E63B97"/>
    <w:rsid w:val="00E8782D"/>
    <w:rsid w:val="00F9550F"/>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A7AA4B"/>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1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CD1FC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B4424"/>
    <w:rPr>
      <w:sz w:val="16"/>
      <w:szCs w:val="16"/>
    </w:rPr>
  </w:style>
  <w:style w:type="paragraph" w:styleId="CommentText">
    <w:name w:val="annotation text"/>
    <w:basedOn w:val="Normal"/>
    <w:link w:val="CommentTextChar"/>
    <w:uiPriority w:val="99"/>
    <w:semiHidden/>
    <w:unhideWhenUsed/>
    <w:rsid w:val="007B4424"/>
    <w:pPr>
      <w:spacing w:line="240" w:lineRule="auto"/>
    </w:pPr>
    <w:rPr>
      <w:sz w:val="20"/>
      <w:szCs w:val="20"/>
    </w:rPr>
  </w:style>
  <w:style w:type="character" w:customStyle="1" w:styleId="CommentTextChar">
    <w:name w:val="Comment Text Char"/>
    <w:basedOn w:val="DefaultParagraphFont"/>
    <w:link w:val="CommentText"/>
    <w:uiPriority w:val="99"/>
    <w:semiHidden/>
    <w:rsid w:val="007B4424"/>
    <w:rPr>
      <w:sz w:val="20"/>
      <w:szCs w:val="20"/>
    </w:rPr>
  </w:style>
  <w:style w:type="paragraph" w:styleId="CommentSubject">
    <w:name w:val="annotation subject"/>
    <w:basedOn w:val="CommentText"/>
    <w:next w:val="CommentText"/>
    <w:link w:val="CommentSubjectChar"/>
    <w:uiPriority w:val="99"/>
    <w:semiHidden/>
    <w:unhideWhenUsed/>
    <w:rsid w:val="007B4424"/>
    <w:rPr>
      <w:b/>
      <w:bCs/>
    </w:rPr>
  </w:style>
  <w:style w:type="character" w:customStyle="1" w:styleId="CommentSubjectChar">
    <w:name w:val="Comment Subject Char"/>
    <w:basedOn w:val="CommentTextChar"/>
    <w:link w:val="CommentSubject"/>
    <w:uiPriority w:val="99"/>
    <w:semiHidden/>
    <w:rsid w:val="007B4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9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BF26F9"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3176B6"/>
    <w:rsid w:val="00605B72"/>
    <w:rsid w:val="00792385"/>
    <w:rsid w:val="008C692B"/>
    <w:rsid w:val="00A00E67"/>
    <w:rsid w:val="00AD3732"/>
    <w:rsid w:val="00BF26F9"/>
    <w:rsid w:val="00E2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2025-04-03T12:57:00Z</dcterms:created>
  <dcterms:modified xsi:type="dcterms:W3CDTF">2025-04-03T12:57:00Z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