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E5D5" w14:textId="77777777" w:rsidR="00307E0C" w:rsidRDefault="00307E0C" w:rsidP="00307E0C">
      <w:pPr>
        <w:pStyle w:val="Heading1"/>
      </w:pPr>
      <w:r>
        <w:t>Diversity Impact Assessment</w:t>
      </w:r>
    </w:p>
    <w:p w14:paraId="5CF736C7" w14:textId="77777777" w:rsidR="00A94199" w:rsidRDefault="00A94199"/>
    <w:p w14:paraId="450969C7" w14:textId="777D49BB" w:rsidR="003A1AF6" w:rsidRDefault="00307E0C" w:rsidP="003A1AF6">
      <w:r>
        <w:t xml:space="preserve">Title: </w:t>
      </w:r>
      <w:r w:rsidR="00F26989" w:rsidRPr="00F26989">
        <w:t>HRA Housing Complaints Policy</w:t>
      </w:r>
    </w:p>
    <w:p w14:paraId="16891800" w14:textId="4F986D3B" w:rsidR="00307E0C" w:rsidRDefault="003A1AF6" w:rsidP="003A1AF6">
      <w:r>
        <w:t xml:space="preserve">Date: </w:t>
      </w:r>
      <w:r w:rsidR="000A3AEF" w:rsidRPr="000A3AEF">
        <w:t>Reviewed in February 2025</w:t>
      </w:r>
    </w:p>
    <w:p w14:paraId="7AC32CE2" w14:textId="08B1CDA0" w:rsidR="003A1AF6" w:rsidRDefault="003A1AF6" w:rsidP="003A1AF6">
      <w:r w:rsidRPr="003A1AF6">
        <w:t xml:space="preserve">Lead Officer: </w:t>
      </w:r>
      <w:r w:rsidR="00545729" w:rsidRPr="00545729">
        <w:t>Aisling Sims – Policy and Partnership Manager</w:t>
      </w:r>
    </w:p>
    <w:p w14:paraId="684A64DD" w14:textId="77777777" w:rsidR="003A1AF6" w:rsidRPr="003A1AF6" w:rsidRDefault="003A1AF6" w:rsidP="003A1AF6">
      <w:pPr>
        <w:numPr>
          <w:ilvl w:val="0"/>
          <w:numId w:val="1"/>
        </w:numPr>
        <w:spacing w:after="0" w:line="240" w:lineRule="auto"/>
        <w:rPr>
          <w:rFonts w:ascii="Aptos" w:eastAsia="Aptos" w:hAnsi="Aptos" w:cs="Times New Roman"/>
          <w:b/>
          <w:bCs/>
        </w:rPr>
      </w:pPr>
      <w:r w:rsidRPr="003A1AF6">
        <w:rPr>
          <w:rFonts w:ascii="Aptos" w:eastAsia="Aptos" w:hAnsi="Aptos" w:cs="Times New Roman"/>
          <w:b/>
          <w:bCs/>
        </w:rPr>
        <w:t>Summary description of the proposed change</w:t>
      </w:r>
    </w:p>
    <w:p w14:paraId="090C5D10" w14:textId="77777777" w:rsidR="003A1AF6" w:rsidRPr="00966CD5" w:rsidRDefault="003A1AF6" w:rsidP="003A1AF6">
      <w:pPr>
        <w:spacing w:after="0" w:line="240" w:lineRule="auto"/>
        <w:rPr>
          <w:rFonts w:ascii="Aptos" w:eastAsia="Aptos" w:hAnsi="Aptos" w:cs="Times New Roman"/>
        </w:rPr>
      </w:pPr>
      <w:r w:rsidRPr="00966CD5">
        <w:rPr>
          <w:rFonts w:ascii="Aptos" w:eastAsia="Aptos" w:hAnsi="Aptos" w:cs="Times New Roman"/>
        </w:rPr>
        <w:t>What is the change to policy / service / new project that is being proposed?</w:t>
      </w:r>
    </w:p>
    <w:p w14:paraId="6D94CFA5" w14:textId="43D93745" w:rsidR="006D75A1" w:rsidRPr="00966CD5" w:rsidRDefault="003A1AF6" w:rsidP="003A1AF6">
      <w:pPr>
        <w:rPr>
          <w:rFonts w:ascii="Aptos" w:eastAsia="Aptos" w:hAnsi="Aptos" w:cs="Times New Roman"/>
        </w:rPr>
      </w:pPr>
      <w:r w:rsidRPr="00966CD5">
        <w:rPr>
          <w:rFonts w:ascii="Aptos" w:eastAsia="Aptos" w:hAnsi="Aptos" w:cs="Times New Roman"/>
        </w:rPr>
        <w:t>How does it compare with the current situation?</w:t>
      </w:r>
    </w:p>
    <w:p w14:paraId="663C0626" w14:textId="77777777" w:rsidR="007C7C90" w:rsidRPr="007C7C90" w:rsidRDefault="007C7C90" w:rsidP="007C7C90">
      <w:pPr>
        <w:rPr>
          <w:rFonts w:ascii="Calibri" w:eastAsia="Aptos" w:hAnsi="Calibri" w:cs="Calibri"/>
        </w:rPr>
      </w:pPr>
      <w:r w:rsidRPr="007C7C90">
        <w:rPr>
          <w:rFonts w:ascii="Calibri" w:eastAsia="Aptos" w:hAnsi="Calibri" w:cs="Calibri"/>
        </w:rPr>
        <w:t>The Complaints Policy has been reviewed and updated with minor amendments including:</w:t>
      </w:r>
    </w:p>
    <w:p w14:paraId="27C4C5EF" w14:textId="77777777" w:rsidR="007C7C90" w:rsidRPr="007C7C90" w:rsidRDefault="007C7C90" w:rsidP="007C7C90">
      <w:pPr>
        <w:rPr>
          <w:rFonts w:ascii="Calibri" w:eastAsia="Aptos" w:hAnsi="Calibri" w:cs="Calibri"/>
        </w:rPr>
      </w:pPr>
      <w:r w:rsidRPr="007C7C90">
        <w:rPr>
          <w:rFonts w:ascii="Calibri" w:eastAsia="Aptos" w:hAnsi="Calibri" w:cs="Calibri"/>
        </w:rPr>
        <w:t>•</w:t>
      </w:r>
      <w:r w:rsidRPr="007C7C90">
        <w:rPr>
          <w:rFonts w:ascii="Calibri" w:eastAsia="Aptos" w:hAnsi="Calibri" w:cs="Calibri"/>
        </w:rPr>
        <w:tab/>
        <w:t>Alignment with the corporate complaints policy</w:t>
      </w:r>
    </w:p>
    <w:p w14:paraId="42EA2B67" w14:textId="77777777" w:rsidR="007C7C90" w:rsidRPr="007C7C90" w:rsidRDefault="007C7C90" w:rsidP="007C7C90">
      <w:pPr>
        <w:rPr>
          <w:rFonts w:ascii="Calibri" w:eastAsia="Aptos" w:hAnsi="Calibri" w:cs="Calibri"/>
        </w:rPr>
      </w:pPr>
      <w:r w:rsidRPr="007C7C90">
        <w:rPr>
          <w:rFonts w:ascii="Calibri" w:eastAsia="Aptos" w:hAnsi="Calibri" w:cs="Calibri"/>
        </w:rPr>
        <w:t>•</w:t>
      </w:r>
      <w:r w:rsidRPr="007C7C90">
        <w:rPr>
          <w:rFonts w:ascii="Calibri" w:eastAsia="Aptos" w:hAnsi="Calibri" w:cs="Calibri"/>
        </w:rPr>
        <w:tab/>
        <w:t>Alignment with latest legislation and complaint handling code outlined by the Housing Ombudsman.</w:t>
      </w:r>
    </w:p>
    <w:p w14:paraId="2C8FF67F" w14:textId="77777777" w:rsidR="007C7C90" w:rsidRPr="007C7C90" w:rsidRDefault="007C7C90" w:rsidP="007C7C90">
      <w:pPr>
        <w:rPr>
          <w:rFonts w:ascii="Calibri" w:eastAsia="Aptos" w:hAnsi="Calibri" w:cs="Calibri"/>
        </w:rPr>
      </w:pPr>
      <w:r w:rsidRPr="007C7C90">
        <w:rPr>
          <w:rFonts w:ascii="Calibri" w:eastAsia="Aptos" w:hAnsi="Calibri" w:cs="Calibri"/>
        </w:rPr>
        <w:t>•</w:t>
      </w:r>
      <w:r w:rsidRPr="007C7C90">
        <w:rPr>
          <w:rFonts w:ascii="Calibri" w:eastAsia="Aptos" w:hAnsi="Calibri" w:cs="Calibri"/>
        </w:rPr>
        <w:tab/>
        <w:t xml:space="preserve">Clarification of what complainants can expect from us, for example – contact upon receipt of every complaint. </w:t>
      </w:r>
    </w:p>
    <w:p w14:paraId="29F02514" w14:textId="77777777" w:rsidR="007C7C90" w:rsidRPr="007C7C90" w:rsidRDefault="007C7C90" w:rsidP="007C7C90">
      <w:pPr>
        <w:rPr>
          <w:rFonts w:ascii="Calibri" w:eastAsia="Aptos" w:hAnsi="Calibri" w:cs="Calibri"/>
        </w:rPr>
      </w:pPr>
      <w:r w:rsidRPr="007C7C90">
        <w:rPr>
          <w:rFonts w:ascii="Calibri" w:eastAsia="Aptos" w:hAnsi="Calibri" w:cs="Calibri"/>
        </w:rPr>
        <w:t>•</w:t>
      </w:r>
      <w:r w:rsidRPr="007C7C90">
        <w:rPr>
          <w:rFonts w:ascii="Calibri" w:eastAsia="Aptos" w:hAnsi="Calibri" w:cs="Calibri"/>
        </w:rPr>
        <w:tab/>
        <w:t xml:space="preserve">Greater emphasis on learning from complaints and highlighting this to HRA tenants and leaseholders. </w:t>
      </w:r>
    </w:p>
    <w:p w14:paraId="1116C71E" w14:textId="7CCB39EB" w:rsidR="006D75A1" w:rsidRPr="007C7C90" w:rsidRDefault="007C7C90" w:rsidP="007C7C90">
      <w:pPr>
        <w:rPr>
          <w:rFonts w:ascii="Calibri" w:eastAsia="Aptos" w:hAnsi="Calibri" w:cs="Calibri"/>
        </w:rPr>
      </w:pPr>
      <w:r w:rsidRPr="007C7C90">
        <w:rPr>
          <w:rFonts w:ascii="Calibri" w:eastAsia="Aptos" w:hAnsi="Calibri" w:cs="Calibri"/>
        </w:rPr>
        <w:t>The HRA Housing team aims to facilitate an open and accessible complaints process. Tenants and leaseholders should feel empowered to tell us if things go wrong and can be assured that they will receive a timely and adequate response.</w:t>
      </w:r>
    </w:p>
    <w:p w14:paraId="5C665095" w14:textId="5728BEC9" w:rsidR="003A1AF6" w:rsidRDefault="003A1AF6" w:rsidP="003A1AF6">
      <w:pPr>
        <w:pStyle w:val="ListParagraph"/>
        <w:numPr>
          <w:ilvl w:val="0"/>
          <w:numId w:val="1"/>
        </w:numPr>
        <w:rPr>
          <w:b/>
          <w:bCs/>
        </w:rPr>
      </w:pPr>
      <w:r w:rsidRPr="003A1AF6">
        <w:rPr>
          <w:b/>
          <w:bCs/>
        </w:rPr>
        <w:t>Summary of evidence used to support this</w:t>
      </w:r>
    </w:p>
    <w:p w14:paraId="7F64C537" w14:textId="77777777" w:rsidR="00042E76" w:rsidRDefault="00042E76" w:rsidP="00042E76">
      <w:r>
        <w:t xml:space="preserve">The HRA is owns approximately 3037 properties in Medway across Brompton, Gillingham, </w:t>
      </w:r>
      <w:proofErr w:type="spellStart"/>
      <w:r>
        <w:t>Twydall</w:t>
      </w:r>
      <w:proofErr w:type="spellEnd"/>
      <w:r>
        <w:t xml:space="preserve"> and Rainham. During the year 2023/24, the HRA complaint teams received 84 complaints. With 71 complaints resolved at stage 1 and 13 complaints escalating to stage 2. During the same period, 1 complaint was investigated by the Housing Ombudsman. </w:t>
      </w:r>
    </w:p>
    <w:p w14:paraId="44657E2F" w14:textId="0A24F302" w:rsidR="00042E76" w:rsidRDefault="00042E76" w:rsidP="00042E76">
      <w:r>
        <w:t xml:space="preserve">During 2023/24 76.1% of stage 1 complaints were responded to on time against a target of 75% and 100% of stage 2 complaints were responded to on time. </w:t>
      </w:r>
    </w:p>
    <w:p w14:paraId="04A69D21" w14:textId="77777777" w:rsidR="00042E76" w:rsidRDefault="00042E76" w:rsidP="00042E76">
      <w:r>
        <w:t>It is now a requirement for housing providers with a stock size over 1,000 to complete an annual survey known as Tenant Satisfaction Measures (TSM). As part of the 2023/24 survey TP09 satisfaction with complaint handing was reported at 26.2%. To improve satisfaction in this area, an improvement plan was developed and implemented which has resulted in an increase of 7% in the 2024/25 survey. To ensure continuous development, the complaints policy has been reviewed to capture these improvements:</w:t>
      </w:r>
    </w:p>
    <w:p w14:paraId="06E6BC7B" w14:textId="77777777" w:rsidR="00042E76" w:rsidRDefault="00042E76" w:rsidP="00042E76">
      <w:r>
        <w:t>•</w:t>
      </w:r>
      <w:r>
        <w:tab/>
        <w:t>Contact made (primarily via telephone) upon receipt of every complaint</w:t>
      </w:r>
    </w:p>
    <w:p w14:paraId="5CD964B8" w14:textId="77777777" w:rsidR="00042E76" w:rsidRDefault="00042E76" w:rsidP="00042E76">
      <w:r>
        <w:t>•</w:t>
      </w:r>
      <w:r>
        <w:tab/>
        <w:t>Transactional survey to be carried out with every closed complaint.</w:t>
      </w:r>
    </w:p>
    <w:p w14:paraId="1AF9BCDD" w14:textId="77777777" w:rsidR="00042E76" w:rsidRDefault="00042E76" w:rsidP="00042E76">
      <w:r>
        <w:lastRenderedPageBreak/>
        <w:t>•</w:t>
      </w:r>
      <w:r>
        <w:tab/>
        <w:t>Responses are made in a way that suits the complainant, and all methods followed up in writing.</w:t>
      </w:r>
    </w:p>
    <w:p w14:paraId="250F4DCF" w14:textId="77777777" w:rsidR="003A1AF6" w:rsidRDefault="003A1AF6" w:rsidP="003A1AF6"/>
    <w:p w14:paraId="77174D3A" w14:textId="1C748B82" w:rsidR="003A1AF6" w:rsidRPr="003A1AF6" w:rsidRDefault="003A1AF6" w:rsidP="003A1AF6">
      <w:pPr>
        <w:pStyle w:val="ListParagraph"/>
        <w:numPr>
          <w:ilvl w:val="0"/>
          <w:numId w:val="1"/>
        </w:numPr>
        <w:rPr>
          <w:b/>
          <w:bCs/>
        </w:rPr>
      </w:pPr>
      <w:r w:rsidRPr="003A1AF6">
        <w:rPr>
          <w:b/>
          <w:bCs/>
        </w:rPr>
        <w:t>What is the likely impact of the proposed change?</w:t>
      </w:r>
    </w:p>
    <w:p w14:paraId="1B1C3495" w14:textId="77777777" w:rsidR="003A1AF6" w:rsidRPr="00966CD5" w:rsidRDefault="003A1AF6" w:rsidP="003A1AF6">
      <w:pPr>
        <w:pStyle w:val="Header"/>
        <w:rPr>
          <w:sz w:val="20"/>
        </w:rPr>
      </w:pPr>
      <w:r w:rsidRPr="00966CD5">
        <w:rPr>
          <w:sz w:val="20"/>
        </w:rPr>
        <w:t xml:space="preserve">Is it likely </w:t>
      </w:r>
      <w:proofErr w:type="gramStart"/>
      <w:r w:rsidRPr="00966CD5">
        <w:rPr>
          <w:sz w:val="20"/>
        </w:rPr>
        <w:t>to :</w:t>
      </w:r>
      <w:proofErr w:type="gramEnd"/>
    </w:p>
    <w:p w14:paraId="241A02D6" w14:textId="77777777" w:rsidR="003A1AF6" w:rsidRPr="00966CD5" w:rsidRDefault="003A1AF6" w:rsidP="003A1AF6">
      <w:pPr>
        <w:pStyle w:val="Header"/>
        <w:numPr>
          <w:ilvl w:val="0"/>
          <w:numId w:val="2"/>
        </w:numPr>
        <w:tabs>
          <w:tab w:val="clear" w:pos="4153"/>
          <w:tab w:val="clear" w:pos="8306"/>
        </w:tabs>
        <w:rPr>
          <w:sz w:val="20"/>
        </w:rPr>
      </w:pPr>
      <w:r w:rsidRPr="00966CD5">
        <w:rPr>
          <w:sz w:val="20"/>
        </w:rPr>
        <w:t xml:space="preserve">Adversely impact on one or more of the protected characteristic </w:t>
      </w:r>
      <w:proofErr w:type="gramStart"/>
      <w:r w:rsidRPr="00966CD5">
        <w:rPr>
          <w:sz w:val="20"/>
        </w:rPr>
        <w:t>groups?</w:t>
      </w:r>
      <w:proofErr w:type="gramEnd"/>
      <w:r w:rsidRPr="00966CD5">
        <w:rPr>
          <w:sz w:val="20"/>
        </w:rPr>
        <w:t xml:space="preserve"> </w:t>
      </w:r>
    </w:p>
    <w:p w14:paraId="14EB82E4" w14:textId="77777777" w:rsidR="003A1AF6" w:rsidRPr="00966CD5" w:rsidRDefault="003A1AF6" w:rsidP="003A1AF6">
      <w:pPr>
        <w:pStyle w:val="Header"/>
        <w:numPr>
          <w:ilvl w:val="0"/>
          <w:numId w:val="2"/>
        </w:numPr>
        <w:tabs>
          <w:tab w:val="clear" w:pos="4153"/>
          <w:tab w:val="clear" w:pos="8306"/>
        </w:tabs>
        <w:rPr>
          <w:sz w:val="20"/>
        </w:rPr>
      </w:pPr>
      <w:r w:rsidRPr="00966CD5">
        <w:rPr>
          <w:sz w:val="20"/>
        </w:rPr>
        <w:t>Advance equality of opportunity for one or more of the protected characteristic groups?</w:t>
      </w:r>
    </w:p>
    <w:p w14:paraId="68B5AB2B" w14:textId="72F5D956" w:rsidR="003A1AF6" w:rsidRPr="00966CD5" w:rsidRDefault="003A1AF6" w:rsidP="003A1AF6">
      <w:pPr>
        <w:ind w:left="360"/>
        <w:rPr>
          <w:sz w:val="20"/>
        </w:rPr>
      </w:pPr>
      <w:r w:rsidRPr="00966CD5">
        <w:rPr>
          <w:sz w:val="20"/>
        </w:rPr>
        <w:t xml:space="preserve">Foster good relations between people who share </w:t>
      </w:r>
      <w:proofErr w:type="spellStart"/>
      <w:r w:rsidRPr="00966CD5">
        <w:rPr>
          <w:sz w:val="20"/>
        </w:rPr>
        <w:t>share</w:t>
      </w:r>
      <w:proofErr w:type="spellEnd"/>
      <w:r w:rsidRPr="00966CD5">
        <w:rPr>
          <w:sz w:val="20"/>
        </w:rPr>
        <w:t xml:space="preserve"> a protected characteristic and those who </w:t>
      </w:r>
      <w:proofErr w:type="gramStart"/>
      <w:r w:rsidRPr="00966CD5">
        <w:rPr>
          <w:sz w:val="20"/>
        </w:rPr>
        <w:t>don’t?</w:t>
      </w:r>
      <w:proofErr w:type="gramEnd"/>
    </w:p>
    <w:p w14:paraId="70F955A5" w14:textId="77777777" w:rsidR="003A1AF6" w:rsidRDefault="003A1AF6" w:rsidP="003A1AF6">
      <w:pPr>
        <w:ind w:left="360"/>
        <w:rPr>
          <w:i/>
          <w:iCs/>
          <w:sz w:val="20"/>
        </w:rPr>
      </w:pPr>
    </w:p>
    <w:p w14:paraId="561CFB2F" w14:textId="77777777" w:rsidR="003A1AF6" w:rsidRDefault="003A1AF6" w:rsidP="003A1AF6">
      <w:r>
        <w:t>Age: no impact</w:t>
      </w:r>
    </w:p>
    <w:p w14:paraId="30DD18DC" w14:textId="77777777" w:rsidR="003A1AF6" w:rsidRDefault="003A1AF6" w:rsidP="003A1AF6">
      <w:r>
        <w:t>Disability: no impact</w:t>
      </w:r>
    </w:p>
    <w:p w14:paraId="2D0F8125" w14:textId="77777777" w:rsidR="003A1AF6" w:rsidRDefault="003A1AF6" w:rsidP="003A1AF6">
      <w:r>
        <w:t>Gender reassignment: no impact</w:t>
      </w:r>
    </w:p>
    <w:p w14:paraId="46DA3E62" w14:textId="7064F0D4" w:rsidR="002E3B71" w:rsidRDefault="003A1AF6" w:rsidP="002E3B71">
      <w:r>
        <w:t>Marriage/civil partnership: no impact</w:t>
      </w:r>
    </w:p>
    <w:p w14:paraId="3D981C8E" w14:textId="648D8AA4" w:rsidR="003A1AF6" w:rsidRDefault="003A1AF6" w:rsidP="003A1AF6">
      <w:r>
        <w:t>Pregnancy/maternity: no impact</w:t>
      </w:r>
    </w:p>
    <w:p w14:paraId="0F8C3D18" w14:textId="77777777" w:rsidR="003A1AF6" w:rsidRDefault="003A1AF6" w:rsidP="003A1AF6">
      <w:r>
        <w:t>Race: no impact</w:t>
      </w:r>
    </w:p>
    <w:p w14:paraId="12107C77" w14:textId="77777777" w:rsidR="003A1AF6" w:rsidRDefault="003A1AF6" w:rsidP="003A1AF6">
      <w:r>
        <w:t>Religion/belief: no impact</w:t>
      </w:r>
    </w:p>
    <w:p w14:paraId="1D83A44B" w14:textId="619FC79B" w:rsidR="003A1AF6" w:rsidRDefault="003A1AF6" w:rsidP="003A1AF6">
      <w:r>
        <w:t>Sex: policy: no impact</w:t>
      </w:r>
    </w:p>
    <w:p w14:paraId="5E429A86" w14:textId="77777777" w:rsidR="003A1AF6" w:rsidRDefault="003A1AF6" w:rsidP="003A1AF6">
      <w:r>
        <w:t>Sexual orientation: no impact</w:t>
      </w:r>
    </w:p>
    <w:p w14:paraId="3C2EF93F" w14:textId="0F56108D" w:rsidR="003A1AF6" w:rsidRPr="000707C0" w:rsidRDefault="003A1AF6" w:rsidP="003A1AF6">
      <w:r>
        <w:t xml:space="preserve">Other (e.g. </w:t>
      </w:r>
      <w:r w:rsidR="008675B6">
        <w:t>low-income</w:t>
      </w:r>
      <w:r>
        <w:t xml:space="preserve"> groups): will advance equality</w:t>
      </w:r>
    </w:p>
    <w:p w14:paraId="40BDAECA" w14:textId="77777777" w:rsidR="003A1AF6" w:rsidRPr="003A1AF6" w:rsidRDefault="003A1AF6" w:rsidP="003A1AF6">
      <w:pPr>
        <w:numPr>
          <w:ilvl w:val="0"/>
          <w:numId w:val="1"/>
        </w:numPr>
        <w:spacing w:after="0" w:line="240" w:lineRule="auto"/>
        <w:rPr>
          <w:rFonts w:ascii="Aptos" w:eastAsia="Aptos" w:hAnsi="Aptos" w:cs="Times New Roman"/>
          <w:b/>
          <w:bCs/>
        </w:rPr>
      </w:pPr>
      <w:r w:rsidRPr="003A1AF6">
        <w:rPr>
          <w:rFonts w:ascii="Aptos" w:eastAsia="Aptos" w:hAnsi="Aptos" w:cs="Times New Roman"/>
          <w:b/>
          <w:bCs/>
        </w:rPr>
        <w:t xml:space="preserve">Summary of the likely impacts </w:t>
      </w:r>
    </w:p>
    <w:p w14:paraId="47E752E6" w14:textId="77777777" w:rsidR="003A1AF6" w:rsidRPr="003A1AF6" w:rsidRDefault="003A1AF6" w:rsidP="003A1AF6">
      <w:pPr>
        <w:numPr>
          <w:ilvl w:val="0"/>
          <w:numId w:val="3"/>
        </w:numPr>
        <w:spacing w:after="0" w:line="240" w:lineRule="auto"/>
        <w:rPr>
          <w:rFonts w:ascii="Aptos" w:eastAsia="Aptos" w:hAnsi="Aptos" w:cs="Times New Roman"/>
          <w:i/>
          <w:iCs/>
        </w:rPr>
      </w:pPr>
      <w:r w:rsidRPr="003A1AF6">
        <w:rPr>
          <w:rFonts w:ascii="Aptos" w:eastAsia="Aptos" w:hAnsi="Aptos" w:cs="Times New Roman"/>
          <w:i/>
          <w:iCs/>
        </w:rPr>
        <w:t>Who will be affected?</w:t>
      </w:r>
    </w:p>
    <w:p w14:paraId="10642164" w14:textId="77777777" w:rsidR="003A1AF6" w:rsidRPr="003A1AF6" w:rsidRDefault="003A1AF6" w:rsidP="003A1AF6">
      <w:pPr>
        <w:numPr>
          <w:ilvl w:val="0"/>
          <w:numId w:val="3"/>
        </w:numPr>
        <w:spacing w:after="0" w:line="240" w:lineRule="auto"/>
        <w:rPr>
          <w:rFonts w:ascii="Aptos" w:eastAsia="Aptos" w:hAnsi="Aptos" w:cs="Times New Roman"/>
          <w:i/>
          <w:iCs/>
        </w:rPr>
      </w:pPr>
      <w:r w:rsidRPr="003A1AF6">
        <w:rPr>
          <w:rFonts w:ascii="Aptos" w:eastAsia="Aptos" w:hAnsi="Aptos" w:cs="Times New Roman"/>
          <w:i/>
          <w:iCs/>
        </w:rPr>
        <w:t>How will they be affected?</w:t>
      </w:r>
    </w:p>
    <w:p w14:paraId="1841BE62" w14:textId="77777777" w:rsidR="00770DA3" w:rsidRDefault="00770DA3" w:rsidP="00366BFC">
      <w:pPr>
        <w:spacing w:after="0" w:line="240" w:lineRule="auto"/>
        <w:rPr>
          <w:rFonts w:ascii="Aptos" w:hAnsi="Aptos"/>
          <w:b/>
          <w:bCs/>
        </w:rPr>
      </w:pPr>
    </w:p>
    <w:p w14:paraId="60DB2990" w14:textId="203E31CE" w:rsidR="0058530F" w:rsidRPr="0058530F" w:rsidRDefault="0058530F" w:rsidP="0058530F">
      <w:r>
        <w:t xml:space="preserve">It has not been identified that this policy will have a negative impact on any protected characteristic, as the policy will be applied universally to all HRA tenants and leaseholders. </w:t>
      </w:r>
    </w:p>
    <w:p w14:paraId="0496E174" w14:textId="77777777" w:rsidR="0058530F" w:rsidRDefault="0058530F" w:rsidP="00366BFC">
      <w:pPr>
        <w:spacing w:after="0" w:line="240" w:lineRule="auto"/>
        <w:rPr>
          <w:rFonts w:ascii="Aptos" w:hAnsi="Aptos"/>
          <w:b/>
          <w:bCs/>
        </w:rPr>
      </w:pPr>
    </w:p>
    <w:p w14:paraId="5B1BC15C" w14:textId="49529B52" w:rsidR="009F14CE" w:rsidRPr="00E57CFB" w:rsidRDefault="009F14CE" w:rsidP="00E57CFB">
      <w:pPr>
        <w:pStyle w:val="ListParagraph"/>
        <w:numPr>
          <w:ilvl w:val="0"/>
          <w:numId w:val="1"/>
        </w:numPr>
        <w:spacing w:after="0" w:line="240" w:lineRule="auto"/>
        <w:rPr>
          <w:rFonts w:ascii="Aptos" w:hAnsi="Aptos"/>
          <w:b/>
          <w:bCs/>
        </w:rPr>
      </w:pPr>
      <w:r w:rsidRPr="00E57CFB">
        <w:rPr>
          <w:rFonts w:ascii="Aptos" w:hAnsi="Aptos"/>
          <w:b/>
          <w:bCs/>
        </w:rPr>
        <w:t>What actions can be taken to mitigate likely adverse</w:t>
      </w:r>
      <w:r w:rsidRPr="00E57CFB">
        <w:rPr>
          <w:rFonts w:ascii="Aptos" w:hAnsi="Aptos"/>
          <w:b/>
          <w:bCs/>
          <w:sz w:val="28"/>
        </w:rPr>
        <w:t xml:space="preserve"> </w:t>
      </w:r>
      <w:r w:rsidRPr="00E57CFB">
        <w:rPr>
          <w:rFonts w:ascii="Aptos" w:hAnsi="Aptos"/>
          <w:b/>
          <w:bCs/>
        </w:rPr>
        <w:t>impacts, improve equality of opportunity or foster good relations?</w:t>
      </w:r>
    </w:p>
    <w:p w14:paraId="52D5DAC9" w14:textId="77777777" w:rsidR="009F14CE" w:rsidRPr="00966CD5" w:rsidRDefault="009F14CE" w:rsidP="009F14CE">
      <w:pPr>
        <w:pStyle w:val="Header"/>
        <w:numPr>
          <w:ilvl w:val="0"/>
          <w:numId w:val="4"/>
        </w:numPr>
        <w:tabs>
          <w:tab w:val="clear" w:pos="4153"/>
          <w:tab w:val="clear" w:pos="8306"/>
        </w:tabs>
        <w:rPr>
          <w:rFonts w:ascii="Aptos" w:hAnsi="Aptos"/>
          <w:sz w:val="20"/>
        </w:rPr>
      </w:pPr>
      <w:r w:rsidRPr="00966CD5">
        <w:rPr>
          <w:rFonts w:ascii="Aptos" w:hAnsi="Aptos"/>
          <w:sz w:val="20"/>
        </w:rPr>
        <w:t>Are there alternative providers?</w:t>
      </w:r>
    </w:p>
    <w:p w14:paraId="71372E3A" w14:textId="77777777" w:rsidR="009F14CE" w:rsidRPr="00966CD5" w:rsidRDefault="009F14CE" w:rsidP="009F14CE">
      <w:pPr>
        <w:pStyle w:val="Header"/>
        <w:numPr>
          <w:ilvl w:val="0"/>
          <w:numId w:val="4"/>
        </w:numPr>
        <w:tabs>
          <w:tab w:val="clear" w:pos="4153"/>
          <w:tab w:val="clear" w:pos="8306"/>
        </w:tabs>
        <w:rPr>
          <w:rFonts w:ascii="Aptos" w:hAnsi="Aptos"/>
          <w:sz w:val="20"/>
        </w:rPr>
      </w:pPr>
      <w:r w:rsidRPr="00966CD5">
        <w:rPr>
          <w:rFonts w:ascii="Aptos" w:hAnsi="Aptos"/>
          <w:sz w:val="20"/>
        </w:rPr>
        <w:t>What alternative ways can the Council provide the service?</w:t>
      </w:r>
    </w:p>
    <w:p w14:paraId="6CF565C6" w14:textId="77777777" w:rsidR="009F14CE" w:rsidRPr="00966CD5" w:rsidRDefault="009F14CE" w:rsidP="009F14CE">
      <w:pPr>
        <w:pStyle w:val="Header"/>
        <w:numPr>
          <w:ilvl w:val="0"/>
          <w:numId w:val="4"/>
        </w:numPr>
        <w:tabs>
          <w:tab w:val="clear" w:pos="4153"/>
          <w:tab w:val="clear" w:pos="8306"/>
        </w:tabs>
        <w:rPr>
          <w:rFonts w:ascii="Aptos" w:hAnsi="Aptos"/>
          <w:sz w:val="20"/>
        </w:rPr>
      </w:pPr>
      <w:r w:rsidRPr="00966CD5">
        <w:rPr>
          <w:rFonts w:ascii="Aptos" w:hAnsi="Aptos"/>
          <w:sz w:val="20"/>
        </w:rPr>
        <w:t>Can demand for services be managed differently</w:t>
      </w:r>
    </w:p>
    <w:p w14:paraId="41FD7E94" w14:textId="77777777" w:rsidR="00100F78" w:rsidRPr="005A59FF" w:rsidRDefault="00100F78" w:rsidP="00100F78">
      <w:pPr>
        <w:pStyle w:val="Header"/>
        <w:tabs>
          <w:tab w:val="clear" w:pos="4153"/>
          <w:tab w:val="clear" w:pos="8306"/>
        </w:tabs>
        <w:ind w:left="360"/>
        <w:rPr>
          <w:rFonts w:asciiTheme="minorHAnsi" w:hAnsiTheme="minorHAnsi" w:cstheme="minorHAnsi"/>
          <w:i/>
          <w:iCs/>
          <w:sz w:val="22"/>
          <w:szCs w:val="22"/>
        </w:rPr>
      </w:pPr>
    </w:p>
    <w:p w14:paraId="336C2D96" w14:textId="77777777" w:rsidR="00100F78" w:rsidRPr="005A59FF" w:rsidRDefault="00100F78" w:rsidP="00100F78">
      <w:pPr>
        <w:pStyle w:val="Header"/>
        <w:rPr>
          <w:rFonts w:asciiTheme="minorHAnsi" w:hAnsiTheme="minorHAnsi" w:cstheme="minorHAnsi"/>
          <w:sz w:val="22"/>
          <w:szCs w:val="22"/>
        </w:rPr>
      </w:pPr>
      <w:r w:rsidRPr="005A59FF">
        <w:rPr>
          <w:rFonts w:asciiTheme="minorHAnsi" w:hAnsiTheme="minorHAnsi" w:cstheme="minorHAnsi"/>
          <w:sz w:val="22"/>
          <w:szCs w:val="22"/>
        </w:rPr>
        <w:t xml:space="preserve">It is expected that the reviewed policy will advance equality for all groups as the Housing Team have greater scope in communicating with HRA tenants and leaseholders in ways that best suit them. </w:t>
      </w:r>
    </w:p>
    <w:p w14:paraId="581D95E1" w14:textId="77777777" w:rsidR="00100F78" w:rsidRDefault="00100F78" w:rsidP="00100F78">
      <w:pPr>
        <w:pStyle w:val="Header"/>
        <w:rPr>
          <w:rFonts w:asciiTheme="minorHAnsi" w:hAnsiTheme="minorHAnsi" w:cstheme="minorHAnsi"/>
          <w:sz w:val="22"/>
          <w:szCs w:val="22"/>
        </w:rPr>
      </w:pPr>
      <w:r w:rsidRPr="005A59FF">
        <w:rPr>
          <w:rFonts w:asciiTheme="minorHAnsi" w:hAnsiTheme="minorHAnsi" w:cstheme="minorHAnsi"/>
          <w:sz w:val="22"/>
          <w:szCs w:val="22"/>
        </w:rPr>
        <w:t>Learning from upheld complaints will also be fed back into the service so that issues relating to accessibility needs and considerations can be put into place.</w:t>
      </w:r>
    </w:p>
    <w:p w14:paraId="6FEBFC35" w14:textId="77777777" w:rsidR="005A59FF" w:rsidRPr="005A59FF" w:rsidRDefault="005A59FF" w:rsidP="00100F78">
      <w:pPr>
        <w:pStyle w:val="Header"/>
        <w:rPr>
          <w:rFonts w:asciiTheme="minorHAnsi" w:hAnsiTheme="minorHAnsi" w:cstheme="minorHAnsi"/>
          <w:sz w:val="22"/>
          <w:szCs w:val="22"/>
        </w:rPr>
      </w:pPr>
    </w:p>
    <w:p w14:paraId="3AF682B1" w14:textId="020BB009" w:rsidR="00945653" w:rsidRPr="00100F78" w:rsidRDefault="00100F78" w:rsidP="00100F78">
      <w:pPr>
        <w:pStyle w:val="Header"/>
        <w:rPr>
          <w:rFonts w:asciiTheme="minorHAnsi" w:hAnsiTheme="minorHAnsi"/>
          <w:b/>
          <w:sz w:val="20"/>
          <w:szCs w:val="20"/>
        </w:rPr>
      </w:pPr>
      <w:r w:rsidRPr="005A59FF">
        <w:rPr>
          <w:rFonts w:asciiTheme="minorHAnsi" w:hAnsiTheme="minorHAnsi" w:cstheme="minorHAnsi"/>
          <w:sz w:val="22"/>
          <w:szCs w:val="22"/>
        </w:rPr>
        <w:t>Learning from the transactional surveys will be monitored at least quarterly to ensure that the process remains accessible and that complainants find that their responses are timely and adequate</w:t>
      </w:r>
      <w:r w:rsidRPr="00100F78">
        <w:rPr>
          <w:sz w:val="20"/>
          <w:szCs w:val="20"/>
        </w:rPr>
        <w:t>.</w:t>
      </w:r>
    </w:p>
    <w:p w14:paraId="3B49B7B5" w14:textId="77777777" w:rsidR="00BE2C85" w:rsidRDefault="00BE2C85" w:rsidP="00BE2C85">
      <w:pPr>
        <w:pStyle w:val="Header"/>
        <w:rPr>
          <w:rFonts w:asciiTheme="minorHAnsi" w:hAnsiTheme="minorHAnsi"/>
          <w:b/>
          <w:sz w:val="22"/>
          <w:szCs w:val="22"/>
        </w:rPr>
      </w:pPr>
    </w:p>
    <w:p w14:paraId="4A816C2D" w14:textId="782FB988" w:rsidR="00DF3139" w:rsidRPr="00C0178F" w:rsidRDefault="00CA164D" w:rsidP="00DF3139">
      <w:pPr>
        <w:pStyle w:val="ListParagraph"/>
        <w:numPr>
          <w:ilvl w:val="0"/>
          <w:numId w:val="1"/>
        </w:numPr>
        <w:rPr>
          <w:b/>
          <w:bCs/>
        </w:rPr>
      </w:pPr>
      <w:r w:rsidRPr="00CA164D">
        <w:rPr>
          <w:b/>
          <w:bCs/>
        </w:rPr>
        <w:t>Action plan</w:t>
      </w:r>
    </w:p>
    <w:p w14:paraId="3FB7E79B" w14:textId="77777777" w:rsidR="00041BD0" w:rsidRDefault="00041BD0" w:rsidP="00A15F92">
      <w:pPr>
        <w:pStyle w:val="ListParagraph"/>
        <w:rPr>
          <w:rFonts w:ascii="Calibri" w:eastAsia="Calibri" w:hAnsi="Calibri" w:cs="Arial"/>
          <w:sz w:val="20"/>
          <w:szCs w:val="20"/>
        </w:rPr>
      </w:pPr>
    </w:p>
    <w:p w14:paraId="77F5E57E" w14:textId="77777777" w:rsidR="00093B20" w:rsidRPr="00093B20" w:rsidRDefault="00093B20" w:rsidP="00093B20">
      <w:pPr>
        <w:keepNext/>
        <w:keepLines/>
        <w:numPr>
          <w:ilvl w:val="0"/>
          <w:numId w:val="1"/>
        </w:numPr>
        <w:spacing w:before="160" w:after="80"/>
        <w:outlineLvl w:val="1"/>
        <w:rPr>
          <w:rFonts w:ascii="Aptos" w:eastAsia="Times New Roman" w:hAnsi="Aptos" w:cs="Times New Roman"/>
          <w:b/>
          <w:bCs/>
        </w:rPr>
      </w:pPr>
      <w:r w:rsidRPr="00093B20">
        <w:rPr>
          <w:rFonts w:ascii="Aptos" w:eastAsia="Times New Roman" w:hAnsi="Aptos" w:cs="Times New Roman"/>
          <w:b/>
          <w:bCs/>
        </w:rPr>
        <w:t>Recommendation</w:t>
      </w:r>
    </w:p>
    <w:p w14:paraId="2F71FB99" w14:textId="77777777" w:rsidR="00093B20" w:rsidRPr="00966CD5" w:rsidRDefault="00093B20" w:rsidP="00093B20">
      <w:pPr>
        <w:tabs>
          <w:tab w:val="center" w:pos="4513"/>
          <w:tab w:val="right" w:pos="9026"/>
        </w:tabs>
        <w:spacing w:after="0" w:line="240" w:lineRule="auto"/>
        <w:rPr>
          <w:rFonts w:ascii="Aptos" w:eastAsia="Aptos" w:hAnsi="Aptos" w:cs="Times New Roman"/>
        </w:rPr>
      </w:pPr>
      <w:r w:rsidRPr="00966CD5">
        <w:rPr>
          <w:rFonts w:ascii="Aptos" w:eastAsia="Aptos" w:hAnsi="Aptos" w:cs="Times New Roman"/>
        </w:rPr>
        <w:t>The recommendation by the lead officer should be stated below. This may be:</w:t>
      </w:r>
    </w:p>
    <w:p w14:paraId="42CDFAEB" w14:textId="77777777" w:rsidR="00093B20" w:rsidRPr="00966CD5" w:rsidRDefault="00093B20" w:rsidP="00093B20">
      <w:pPr>
        <w:numPr>
          <w:ilvl w:val="0"/>
          <w:numId w:val="5"/>
        </w:numPr>
        <w:spacing w:after="0" w:line="240" w:lineRule="auto"/>
        <w:rPr>
          <w:rFonts w:ascii="Aptos" w:eastAsia="Aptos" w:hAnsi="Aptos" w:cs="Times New Roman"/>
        </w:rPr>
      </w:pPr>
      <w:r w:rsidRPr="00966CD5">
        <w:rPr>
          <w:rFonts w:ascii="Aptos" w:eastAsia="Aptos" w:hAnsi="Aptos" w:cs="Times New Roman"/>
        </w:rPr>
        <w:t>to proceed with the change, implementing the Action Plan if appropriate</w:t>
      </w:r>
    </w:p>
    <w:p w14:paraId="731FD725" w14:textId="77777777" w:rsidR="00093B20" w:rsidRPr="00966CD5" w:rsidRDefault="00093B20" w:rsidP="00093B20">
      <w:pPr>
        <w:numPr>
          <w:ilvl w:val="0"/>
          <w:numId w:val="5"/>
        </w:numPr>
        <w:spacing w:after="0" w:line="240" w:lineRule="auto"/>
        <w:rPr>
          <w:rFonts w:ascii="Aptos" w:eastAsia="Aptos" w:hAnsi="Aptos" w:cs="Times New Roman"/>
        </w:rPr>
      </w:pPr>
      <w:r w:rsidRPr="00966CD5">
        <w:rPr>
          <w:rFonts w:ascii="Aptos" w:eastAsia="Aptos" w:hAnsi="Aptos" w:cs="Times New Roman"/>
        </w:rPr>
        <w:t>consider alternatives</w:t>
      </w:r>
    </w:p>
    <w:p w14:paraId="278D951D" w14:textId="77777777" w:rsidR="00093B20" w:rsidRPr="00966CD5" w:rsidRDefault="00093B20" w:rsidP="00093B20">
      <w:pPr>
        <w:numPr>
          <w:ilvl w:val="0"/>
          <w:numId w:val="5"/>
        </w:numPr>
        <w:spacing w:after="0" w:line="240" w:lineRule="auto"/>
        <w:rPr>
          <w:rFonts w:ascii="Aptos" w:eastAsia="Aptos" w:hAnsi="Aptos" w:cs="Times New Roman"/>
        </w:rPr>
      </w:pPr>
      <w:r w:rsidRPr="00966CD5">
        <w:rPr>
          <w:rFonts w:ascii="Aptos" w:eastAsia="Aptos" w:hAnsi="Aptos" w:cs="Times New Roman"/>
        </w:rPr>
        <w:t>gather further evidence</w:t>
      </w:r>
    </w:p>
    <w:p w14:paraId="7D9E37F2" w14:textId="77777777" w:rsidR="00093B20" w:rsidRPr="00966CD5" w:rsidRDefault="00093B20" w:rsidP="00093B20">
      <w:pPr>
        <w:spacing w:after="0" w:line="240" w:lineRule="auto"/>
        <w:rPr>
          <w:rFonts w:ascii="Aptos" w:eastAsia="Aptos" w:hAnsi="Aptos" w:cs="Times New Roman"/>
        </w:rPr>
      </w:pPr>
      <w:r w:rsidRPr="00966CD5">
        <w:rPr>
          <w:rFonts w:ascii="Aptos" w:eastAsia="Aptos" w:hAnsi="Aptos" w:cs="Times New Roman"/>
        </w:rPr>
        <w:t>If the recommendation is to proceed with the change and there are no actions that can be taken to mitigate likely adverse impact, it is important to state why.</w:t>
      </w:r>
    </w:p>
    <w:p w14:paraId="39D54AE1" w14:textId="77777777" w:rsidR="00093B20" w:rsidRPr="00966CD5" w:rsidRDefault="00093B20" w:rsidP="00093B20">
      <w:pPr>
        <w:spacing w:after="0" w:line="240" w:lineRule="auto"/>
        <w:rPr>
          <w:rFonts w:ascii="Aptos" w:eastAsia="Aptos" w:hAnsi="Aptos" w:cs="Times New Roman"/>
        </w:rPr>
      </w:pPr>
    </w:p>
    <w:p w14:paraId="46A67F44" w14:textId="77777777" w:rsidR="00093B20" w:rsidRPr="00966CD5" w:rsidRDefault="00093B20" w:rsidP="00093B20">
      <w:pPr>
        <w:spacing w:after="0" w:line="240" w:lineRule="auto"/>
        <w:rPr>
          <w:rFonts w:ascii="Aptos" w:eastAsia="Aptos" w:hAnsi="Aptos" w:cs="Times New Roman"/>
          <w:bCs/>
        </w:rPr>
      </w:pPr>
      <w:r w:rsidRPr="00966CD5">
        <w:rPr>
          <w:rFonts w:ascii="Aptos" w:eastAsia="Aptos" w:hAnsi="Aptos" w:cs="Times New Roman"/>
          <w:bCs/>
        </w:rPr>
        <w:t>Proceed with the reviewed policy.</w:t>
      </w:r>
    </w:p>
    <w:p w14:paraId="7C6D3242" w14:textId="77777777" w:rsidR="00093B20" w:rsidRPr="00966CD5" w:rsidRDefault="00093B20" w:rsidP="00093B20">
      <w:pPr>
        <w:keepNext/>
        <w:keepLines/>
        <w:numPr>
          <w:ilvl w:val="0"/>
          <w:numId w:val="1"/>
        </w:numPr>
        <w:spacing w:before="160" w:after="80"/>
        <w:outlineLvl w:val="1"/>
        <w:rPr>
          <w:rFonts w:ascii="Aptos" w:eastAsia="Times New Roman" w:hAnsi="Aptos" w:cs="Times New Roman"/>
          <w:b/>
          <w:bCs/>
        </w:rPr>
      </w:pPr>
      <w:r w:rsidRPr="00966CD5">
        <w:rPr>
          <w:rFonts w:ascii="Aptos" w:eastAsia="Times New Roman" w:hAnsi="Aptos" w:cs="Times New Roman"/>
          <w:b/>
          <w:bCs/>
        </w:rPr>
        <w:t xml:space="preserve">Authorisation </w:t>
      </w:r>
    </w:p>
    <w:p w14:paraId="042E1706" w14:textId="77777777" w:rsidR="00093B20" w:rsidRPr="00966CD5" w:rsidRDefault="00093B20" w:rsidP="00093B20">
      <w:pPr>
        <w:tabs>
          <w:tab w:val="center" w:pos="4513"/>
          <w:tab w:val="right" w:pos="9026"/>
        </w:tabs>
        <w:spacing w:after="0" w:line="240" w:lineRule="auto"/>
        <w:rPr>
          <w:rFonts w:ascii="Aptos" w:eastAsia="Aptos" w:hAnsi="Aptos" w:cs="Times New Roman"/>
        </w:rPr>
      </w:pPr>
      <w:r w:rsidRPr="00966CD5">
        <w:rPr>
          <w:rFonts w:ascii="Aptos" w:eastAsia="Aptos" w:hAnsi="Aptos" w:cs="Times New Roman"/>
        </w:rPr>
        <w:t>The authorising officer is consenting that:</w:t>
      </w:r>
    </w:p>
    <w:p w14:paraId="7735FD32" w14:textId="77777777" w:rsidR="00093B20" w:rsidRPr="00966CD5" w:rsidRDefault="00093B20" w:rsidP="00093B20">
      <w:pPr>
        <w:numPr>
          <w:ilvl w:val="0"/>
          <w:numId w:val="7"/>
        </w:numPr>
        <w:spacing w:after="0" w:line="240" w:lineRule="auto"/>
        <w:rPr>
          <w:rFonts w:ascii="Aptos" w:eastAsia="Aptos" w:hAnsi="Aptos" w:cs="Times New Roman"/>
        </w:rPr>
      </w:pPr>
      <w:r w:rsidRPr="00966CD5">
        <w:rPr>
          <w:rFonts w:ascii="Aptos" w:eastAsia="Aptos" w:hAnsi="Aptos" w:cs="Times New Roman"/>
        </w:rPr>
        <w:t>the recommendation can be implemented</w:t>
      </w:r>
    </w:p>
    <w:p w14:paraId="6D3F53F5" w14:textId="77777777" w:rsidR="00093B20" w:rsidRPr="00966CD5" w:rsidRDefault="00093B20" w:rsidP="00093B20">
      <w:pPr>
        <w:numPr>
          <w:ilvl w:val="0"/>
          <w:numId w:val="6"/>
        </w:numPr>
        <w:spacing w:after="0" w:line="240" w:lineRule="auto"/>
        <w:rPr>
          <w:rFonts w:ascii="Aptos" w:eastAsia="Aptos" w:hAnsi="Aptos" w:cs="Times New Roman"/>
        </w:rPr>
      </w:pPr>
      <w:r w:rsidRPr="00966CD5">
        <w:rPr>
          <w:rFonts w:ascii="Aptos" w:eastAsia="Aptos" w:hAnsi="Aptos" w:cs="Times New Roman"/>
        </w:rPr>
        <w:t>sufficient evidence has been obtained and appropriate mitigation is planned</w:t>
      </w:r>
    </w:p>
    <w:p w14:paraId="3184D451" w14:textId="77777777" w:rsidR="00093B20" w:rsidRPr="00966CD5" w:rsidRDefault="00093B20" w:rsidP="00093B20">
      <w:pPr>
        <w:numPr>
          <w:ilvl w:val="0"/>
          <w:numId w:val="6"/>
        </w:numPr>
        <w:spacing w:after="0" w:line="240" w:lineRule="auto"/>
        <w:rPr>
          <w:rFonts w:ascii="Aptos" w:eastAsia="Aptos" w:hAnsi="Aptos" w:cs="Times New Roman"/>
        </w:rPr>
      </w:pPr>
      <w:r w:rsidRPr="00966CD5">
        <w:rPr>
          <w:rFonts w:ascii="Aptos" w:eastAsia="Aptos" w:hAnsi="Aptos" w:cs="Times New Roman"/>
        </w:rPr>
        <w:t>the Action Plan will be incorporated into the relevant Service Plan and monitored</w:t>
      </w:r>
    </w:p>
    <w:p w14:paraId="4FD1FA12" w14:textId="77777777" w:rsidR="00093B20" w:rsidRPr="00093B20" w:rsidRDefault="00093B20" w:rsidP="00093B20">
      <w:pPr>
        <w:spacing w:after="0" w:line="240" w:lineRule="auto"/>
        <w:rPr>
          <w:rFonts w:ascii="Aptos" w:eastAsia="Aptos" w:hAnsi="Aptos" w:cs="Times New Roman"/>
          <w:i/>
          <w:iCs/>
          <w:sz w:val="20"/>
        </w:rPr>
      </w:pPr>
    </w:p>
    <w:p w14:paraId="45736BCA" w14:textId="77777777" w:rsidR="00093B20" w:rsidRPr="00093B20" w:rsidRDefault="00093B20" w:rsidP="00093B20">
      <w:pPr>
        <w:spacing w:after="0" w:line="240" w:lineRule="auto"/>
        <w:rPr>
          <w:rFonts w:ascii="Aptos" w:eastAsia="Aptos" w:hAnsi="Aptos" w:cs="Times New Roman"/>
        </w:rPr>
      </w:pPr>
      <w:r w:rsidRPr="00093B20">
        <w:rPr>
          <w:rFonts w:ascii="Aptos" w:eastAsia="Aptos" w:hAnsi="Aptos" w:cs="Times New Roman"/>
        </w:rPr>
        <w:t>Authorising Officer: Rebecca Wilcox – Chief Housing Officer</w:t>
      </w:r>
    </w:p>
    <w:p w14:paraId="77FB09C2" w14:textId="77777777" w:rsidR="00093B20" w:rsidRPr="00093B20" w:rsidRDefault="00093B20" w:rsidP="00093B20">
      <w:pPr>
        <w:spacing w:after="0" w:line="240" w:lineRule="auto"/>
        <w:rPr>
          <w:rFonts w:ascii="Aptos" w:eastAsia="Aptos" w:hAnsi="Aptos" w:cs="Times New Roman"/>
        </w:rPr>
      </w:pPr>
    </w:p>
    <w:p w14:paraId="74B24E76" w14:textId="2C2E1AB7" w:rsidR="00093B20" w:rsidRPr="00093B20" w:rsidRDefault="00093B20" w:rsidP="00093B20">
      <w:pPr>
        <w:spacing w:after="0" w:line="240" w:lineRule="auto"/>
        <w:rPr>
          <w:rFonts w:ascii="Aptos" w:eastAsia="Aptos" w:hAnsi="Aptos" w:cs="Times New Roman"/>
        </w:rPr>
      </w:pPr>
      <w:r w:rsidRPr="00093B20">
        <w:rPr>
          <w:rFonts w:ascii="Aptos" w:eastAsia="Aptos" w:hAnsi="Aptos" w:cs="Times New Roman"/>
        </w:rPr>
        <w:t xml:space="preserve">Date: </w:t>
      </w:r>
      <w:r w:rsidR="00143E70">
        <w:rPr>
          <w:rFonts w:ascii="Aptos" w:eastAsia="Aptos" w:hAnsi="Aptos" w:cs="Times New Roman"/>
        </w:rPr>
        <w:t>February</w:t>
      </w:r>
      <w:r w:rsidR="009A61C9">
        <w:rPr>
          <w:rFonts w:ascii="Aptos" w:eastAsia="Aptos" w:hAnsi="Aptos" w:cs="Times New Roman"/>
        </w:rPr>
        <w:t xml:space="preserve"> 2025</w:t>
      </w:r>
    </w:p>
    <w:p w14:paraId="7973D6B2" w14:textId="7981CC67" w:rsidR="00041BD0" w:rsidRPr="00CA164D" w:rsidRDefault="00041BD0" w:rsidP="00A15F92">
      <w:pPr>
        <w:pStyle w:val="ListParagraph"/>
        <w:rPr>
          <w:b/>
          <w:bCs/>
        </w:rPr>
      </w:pPr>
    </w:p>
    <w:sectPr w:rsidR="00041BD0" w:rsidRPr="00CA16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4BAC" w14:textId="77777777" w:rsidR="004602CF" w:rsidRDefault="004602CF" w:rsidP="008E3FBC">
      <w:pPr>
        <w:spacing w:after="0" w:line="240" w:lineRule="auto"/>
      </w:pPr>
      <w:r>
        <w:separator/>
      </w:r>
    </w:p>
  </w:endnote>
  <w:endnote w:type="continuationSeparator" w:id="0">
    <w:p w14:paraId="38D79CF0" w14:textId="77777777" w:rsidR="004602CF" w:rsidRDefault="004602CF" w:rsidP="008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CC7A" w14:textId="77777777" w:rsidR="008E3FBC" w:rsidRDefault="008E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0F99" w14:textId="77777777" w:rsidR="008E3FBC" w:rsidRDefault="008E3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9F3D" w14:textId="77777777" w:rsidR="008E3FBC" w:rsidRDefault="008E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DE14" w14:textId="77777777" w:rsidR="004602CF" w:rsidRDefault="004602CF" w:rsidP="008E3FBC">
      <w:pPr>
        <w:spacing w:after="0" w:line="240" w:lineRule="auto"/>
      </w:pPr>
      <w:r>
        <w:separator/>
      </w:r>
    </w:p>
  </w:footnote>
  <w:footnote w:type="continuationSeparator" w:id="0">
    <w:p w14:paraId="50659A2F" w14:textId="77777777" w:rsidR="004602CF" w:rsidRDefault="004602CF" w:rsidP="008E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9420" w14:textId="77777777" w:rsidR="008E3FBC" w:rsidRDefault="008E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EBDE" w14:textId="128B703E" w:rsidR="008E3FBC" w:rsidRDefault="008E3FBC">
    <w:pPr>
      <w:pStyle w:val="Header"/>
    </w:pPr>
    <w:r>
      <w:rPr>
        <w:noProof/>
      </w:rPr>
      <w:drawing>
        <wp:inline distT="0" distB="0" distL="0" distR="0" wp14:anchorId="055B342A" wp14:editId="502B405D">
          <wp:extent cx="1314450" cy="809625"/>
          <wp:effectExtent l="0" t="0" r="0" b="9525"/>
          <wp:docPr id="1863080184" name="Picture 1" descr="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80184" name="Picture 1" descr="Med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5839" w14:textId="77777777" w:rsidR="008E3FBC" w:rsidRDefault="008E3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061C2"/>
    <w:multiLevelType w:val="hybridMultilevel"/>
    <w:tmpl w:val="5B60E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67801">
    <w:abstractNumId w:val="2"/>
  </w:num>
  <w:num w:numId="2" w16cid:durableId="731805656">
    <w:abstractNumId w:val="4"/>
  </w:num>
  <w:num w:numId="3" w16cid:durableId="1899512703">
    <w:abstractNumId w:val="3"/>
  </w:num>
  <w:num w:numId="4" w16cid:durableId="601574041">
    <w:abstractNumId w:val="5"/>
  </w:num>
  <w:num w:numId="5" w16cid:durableId="138772011">
    <w:abstractNumId w:val="1"/>
  </w:num>
  <w:num w:numId="6" w16cid:durableId="1625767841">
    <w:abstractNumId w:val="0"/>
  </w:num>
  <w:num w:numId="7" w16cid:durableId="773791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0C"/>
    <w:rsid w:val="00041BD0"/>
    <w:rsid w:val="00042E76"/>
    <w:rsid w:val="000748A7"/>
    <w:rsid w:val="00093B20"/>
    <w:rsid w:val="000A3AEF"/>
    <w:rsid w:val="00100F78"/>
    <w:rsid w:val="001013C0"/>
    <w:rsid w:val="00143E70"/>
    <w:rsid w:val="001E49D2"/>
    <w:rsid w:val="002B66DF"/>
    <w:rsid w:val="002E3B71"/>
    <w:rsid w:val="00307E0C"/>
    <w:rsid w:val="00311D8C"/>
    <w:rsid w:val="00336DEB"/>
    <w:rsid w:val="00366BFC"/>
    <w:rsid w:val="003A1AF6"/>
    <w:rsid w:val="003F33C0"/>
    <w:rsid w:val="004602CF"/>
    <w:rsid w:val="00545729"/>
    <w:rsid w:val="00584CC9"/>
    <w:rsid w:val="0058530F"/>
    <w:rsid w:val="005A59FF"/>
    <w:rsid w:val="005C0E93"/>
    <w:rsid w:val="006036BA"/>
    <w:rsid w:val="00673674"/>
    <w:rsid w:val="006B1193"/>
    <w:rsid w:val="006D75A1"/>
    <w:rsid w:val="00770DA3"/>
    <w:rsid w:val="00792385"/>
    <w:rsid w:val="007A5B16"/>
    <w:rsid w:val="007C7C90"/>
    <w:rsid w:val="008460CD"/>
    <w:rsid w:val="008675B6"/>
    <w:rsid w:val="008E3FBC"/>
    <w:rsid w:val="009266E8"/>
    <w:rsid w:val="0093526F"/>
    <w:rsid w:val="00945653"/>
    <w:rsid w:val="00966CD5"/>
    <w:rsid w:val="009A61C9"/>
    <w:rsid w:val="009F14CE"/>
    <w:rsid w:val="009F7074"/>
    <w:rsid w:val="00A15F92"/>
    <w:rsid w:val="00A94199"/>
    <w:rsid w:val="00B01FF8"/>
    <w:rsid w:val="00B670BC"/>
    <w:rsid w:val="00BE2C85"/>
    <w:rsid w:val="00C0178F"/>
    <w:rsid w:val="00C44E2A"/>
    <w:rsid w:val="00C44FD6"/>
    <w:rsid w:val="00CA164D"/>
    <w:rsid w:val="00D1293F"/>
    <w:rsid w:val="00D41E16"/>
    <w:rsid w:val="00D46130"/>
    <w:rsid w:val="00DF3139"/>
    <w:rsid w:val="00E51531"/>
    <w:rsid w:val="00E57CFB"/>
    <w:rsid w:val="00F000AF"/>
    <w:rsid w:val="00F15CAE"/>
    <w:rsid w:val="00F26989"/>
    <w:rsid w:val="00F60F07"/>
    <w:rsid w:val="00F762DC"/>
    <w:rsid w:val="00FD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8C65"/>
  <w15:chartTrackingRefBased/>
  <w15:docId w15:val="{A348D9A5-59E9-4CA3-A5EE-CB25B90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E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E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E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E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E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E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E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E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0C"/>
    <w:rPr>
      <w:rFonts w:eastAsiaTheme="majorEastAsia" w:cstheme="majorBidi"/>
      <w:color w:val="272727" w:themeColor="text1" w:themeTint="D8"/>
    </w:rPr>
  </w:style>
  <w:style w:type="paragraph" w:styleId="Title">
    <w:name w:val="Title"/>
    <w:basedOn w:val="Normal"/>
    <w:next w:val="Normal"/>
    <w:link w:val="TitleChar"/>
    <w:uiPriority w:val="10"/>
    <w:qFormat/>
    <w:rsid w:val="00307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0C"/>
    <w:pPr>
      <w:spacing w:before="160"/>
      <w:jc w:val="center"/>
    </w:pPr>
    <w:rPr>
      <w:i/>
      <w:iCs/>
      <w:color w:val="404040" w:themeColor="text1" w:themeTint="BF"/>
    </w:rPr>
  </w:style>
  <w:style w:type="character" w:customStyle="1" w:styleId="QuoteChar">
    <w:name w:val="Quote Char"/>
    <w:basedOn w:val="DefaultParagraphFont"/>
    <w:link w:val="Quote"/>
    <w:uiPriority w:val="29"/>
    <w:rsid w:val="00307E0C"/>
    <w:rPr>
      <w:i/>
      <w:iCs/>
      <w:color w:val="404040" w:themeColor="text1" w:themeTint="BF"/>
    </w:rPr>
  </w:style>
  <w:style w:type="paragraph" w:styleId="ListParagraph">
    <w:name w:val="List Paragraph"/>
    <w:basedOn w:val="Normal"/>
    <w:uiPriority w:val="34"/>
    <w:qFormat/>
    <w:rsid w:val="00307E0C"/>
    <w:pPr>
      <w:ind w:left="720"/>
      <w:contextualSpacing/>
    </w:pPr>
  </w:style>
  <w:style w:type="character" w:styleId="IntenseEmphasis">
    <w:name w:val="Intense Emphasis"/>
    <w:basedOn w:val="DefaultParagraphFont"/>
    <w:uiPriority w:val="21"/>
    <w:qFormat/>
    <w:rsid w:val="00307E0C"/>
    <w:rPr>
      <w:i/>
      <w:iCs/>
      <w:color w:val="2F5496" w:themeColor="accent1" w:themeShade="BF"/>
    </w:rPr>
  </w:style>
  <w:style w:type="paragraph" w:styleId="IntenseQuote">
    <w:name w:val="Intense Quote"/>
    <w:basedOn w:val="Normal"/>
    <w:next w:val="Normal"/>
    <w:link w:val="IntenseQuoteChar"/>
    <w:uiPriority w:val="30"/>
    <w:qFormat/>
    <w:rsid w:val="0030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E0C"/>
    <w:rPr>
      <w:i/>
      <w:iCs/>
      <w:color w:val="2F5496" w:themeColor="accent1" w:themeShade="BF"/>
    </w:rPr>
  </w:style>
  <w:style w:type="character" w:styleId="IntenseReference">
    <w:name w:val="Intense Reference"/>
    <w:basedOn w:val="DefaultParagraphFont"/>
    <w:uiPriority w:val="32"/>
    <w:qFormat/>
    <w:rsid w:val="00307E0C"/>
    <w:rPr>
      <w:b/>
      <w:bCs/>
      <w:smallCaps/>
      <w:color w:val="2F5496" w:themeColor="accent1" w:themeShade="BF"/>
      <w:spacing w:val="5"/>
    </w:rPr>
  </w:style>
  <w:style w:type="paragraph" w:styleId="Header">
    <w:name w:val="header"/>
    <w:basedOn w:val="Normal"/>
    <w:link w:val="HeaderChar"/>
    <w:unhideWhenUsed/>
    <w:rsid w:val="003A1AF6"/>
    <w:pPr>
      <w:tabs>
        <w:tab w:val="center" w:pos="4153"/>
        <w:tab w:val="right" w:pos="8306"/>
      </w:tabs>
      <w:spacing w:after="0" w:line="240" w:lineRule="auto"/>
    </w:pPr>
    <w:rPr>
      <w:rFonts w:ascii="Arial" w:eastAsia="Times New Roman" w:hAnsi="Arial" w:cs="Times New Roman"/>
      <w:kern w:val="0"/>
      <w:sz w:val="24"/>
      <w:szCs w:val="24"/>
      <w14:ligatures w14:val="none"/>
    </w:rPr>
  </w:style>
  <w:style w:type="character" w:customStyle="1" w:styleId="HeaderChar">
    <w:name w:val="Header Char"/>
    <w:basedOn w:val="DefaultParagraphFont"/>
    <w:link w:val="Header"/>
    <w:rsid w:val="003A1AF6"/>
    <w:rPr>
      <w:rFonts w:ascii="Arial" w:eastAsia="Times New Roman" w:hAnsi="Arial" w:cs="Times New Roman"/>
      <w:kern w:val="0"/>
      <w:sz w:val="24"/>
      <w:szCs w:val="24"/>
      <w14:ligatures w14:val="none"/>
    </w:rPr>
  </w:style>
  <w:style w:type="paragraph" w:customStyle="1" w:styleId="Default">
    <w:name w:val="Default"/>
    <w:rsid w:val="003A1AF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Hyperlink">
    <w:name w:val="Hyperlink"/>
    <w:semiHidden/>
    <w:unhideWhenUsed/>
    <w:rsid w:val="00BE2C85"/>
    <w:rPr>
      <w:color w:val="0000FF"/>
      <w:u w:val="single"/>
    </w:rPr>
  </w:style>
  <w:style w:type="paragraph" w:styleId="Footer">
    <w:name w:val="footer"/>
    <w:basedOn w:val="Normal"/>
    <w:link w:val="FooterChar"/>
    <w:uiPriority w:val="99"/>
    <w:unhideWhenUsed/>
    <w:rsid w:val="008E3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563">
      <w:bodyDiv w:val="1"/>
      <w:marLeft w:val="0"/>
      <w:marRight w:val="0"/>
      <w:marTop w:val="0"/>
      <w:marBottom w:val="0"/>
      <w:divBdr>
        <w:top w:val="none" w:sz="0" w:space="0" w:color="auto"/>
        <w:left w:val="none" w:sz="0" w:space="0" w:color="auto"/>
        <w:bottom w:val="none" w:sz="0" w:space="0" w:color="auto"/>
        <w:right w:val="none" w:sz="0" w:space="0" w:color="auto"/>
      </w:divBdr>
    </w:div>
    <w:div w:id="431702428">
      <w:bodyDiv w:val="1"/>
      <w:marLeft w:val="0"/>
      <w:marRight w:val="0"/>
      <w:marTop w:val="0"/>
      <w:marBottom w:val="0"/>
      <w:divBdr>
        <w:top w:val="none" w:sz="0" w:space="0" w:color="auto"/>
        <w:left w:val="none" w:sz="0" w:space="0" w:color="auto"/>
        <w:bottom w:val="none" w:sz="0" w:space="0" w:color="auto"/>
        <w:right w:val="none" w:sz="0" w:space="0" w:color="auto"/>
      </w:divBdr>
    </w:div>
    <w:div w:id="627902276">
      <w:bodyDiv w:val="1"/>
      <w:marLeft w:val="0"/>
      <w:marRight w:val="0"/>
      <w:marTop w:val="0"/>
      <w:marBottom w:val="0"/>
      <w:divBdr>
        <w:top w:val="none" w:sz="0" w:space="0" w:color="auto"/>
        <w:left w:val="none" w:sz="0" w:space="0" w:color="auto"/>
        <w:bottom w:val="none" w:sz="0" w:space="0" w:color="auto"/>
        <w:right w:val="none" w:sz="0" w:space="0" w:color="auto"/>
      </w:divBdr>
    </w:div>
    <w:div w:id="826477905">
      <w:bodyDiv w:val="1"/>
      <w:marLeft w:val="0"/>
      <w:marRight w:val="0"/>
      <w:marTop w:val="0"/>
      <w:marBottom w:val="0"/>
      <w:divBdr>
        <w:top w:val="none" w:sz="0" w:space="0" w:color="auto"/>
        <w:left w:val="none" w:sz="0" w:space="0" w:color="auto"/>
        <w:bottom w:val="none" w:sz="0" w:space="0" w:color="auto"/>
        <w:right w:val="none" w:sz="0" w:space="0" w:color="auto"/>
      </w:divBdr>
    </w:div>
    <w:div w:id="911232367">
      <w:bodyDiv w:val="1"/>
      <w:marLeft w:val="0"/>
      <w:marRight w:val="0"/>
      <w:marTop w:val="0"/>
      <w:marBottom w:val="0"/>
      <w:divBdr>
        <w:top w:val="none" w:sz="0" w:space="0" w:color="auto"/>
        <w:left w:val="none" w:sz="0" w:space="0" w:color="auto"/>
        <w:bottom w:val="none" w:sz="0" w:space="0" w:color="auto"/>
        <w:right w:val="none" w:sz="0" w:space="0" w:color="auto"/>
      </w:divBdr>
    </w:div>
    <w:div w:id="1581014298">
      <w:bodyDiv w:val="1"/>
      <w:marLeft w:val="0"/>
      <w:marRight w:val="0"/>
      <w:marTop w:val="0"/>
      <w:marBottom w:val="0"/>
      <w:divBdr>
        <w:top w:val="none" w:sz="0" w:space="0" w:color="auto"/>
        <w:left w:val="none" w:sz="0" w:space="0" w:color="auto"/>
        <w:bottom w:val="none" w:sz="0" w:space="0" w:color="auto"/>
        <w:right w:val="none" w:sz="0" w:space="0" w:color="auto"/>
      </w:divBdr>
    </w:div>
    <w:div w:id="1581717380">
      <w:bodyDiv w:val="1"/>
      <w:marLeft w:val="0"/>
      <w:marRight w:val="0"/>
      <w:marTop w:val="0"/>
      <w:marBottom w:val="0"/>
      <w:divBdr>
        <w:top w:val="none" w:sz="0" w:space="0" w:color="auto"/>
        <w:left w:val="none" w:sz="0" w:space="0" w:color="auto"/>
        <w:bottom w:val="none" w:sz="0" w:space="0" w:color="auto"/>
        <w:right w:val="none" w:sz="0" w:space="0" w:color="auto"/>
      </w:divBdr>
    </w:div>
    <w:div w:id="18295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katherine</dc:creator>
  <cp:keywords/>
  <dc:description/>
  <cp:lastModifiedBy>cadwallader, amie</cp:lastModifiedBy>
  <cp:revision>3</cp:revision>
  <dcterms:created xsi:type="dcterms:W3CDTF">2025-02-06T11:00:00Z</dcterms:created>
  <dcterms:modified xsi:type="dcterms:W3CDTF">2025-02-11T12:48:00Z</dcterms:modified>
</cp:coreProperties>
</file>